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C" w:rsidRPr="001F60FC" w:rsidRDefault="001F60FC" w:rsidP="001F60FC">
      <w:pPr>
        <w:pBdr>
          <w:bottom w:val="single" w:sz="4" w:space="1" w:color="auto"/>
        </w:pBdr>
        <w:spacing w:after="0" w:line="220" w:lineRule="exact"/>
        <w:ind w:right="5952"/>
        <w:jc w:val="both"/>
        <w:rPr>
          <w:rFonts w:ascii="Arial Black" w:hAnsi="Arial Black" w:cs="Arial"/>
          <w:color w:val="000000"/>
          <w:lang w:eastAsia="it-IT"/>
        </w:rPr>
      </w:pPr>
      <w:r w:rsidRPr="001F60FC">
        <w:rPr>
          <w:rFonts w:ascii="Arial Black" w:hAnsi="Arial Black" w:cs="Arial"/>
          <w:szCs w:val="20"/>
          <w:lang w:eastAsia="it-IT"/>
        </w:rPr>
        <w:t>COMUNICATO STAMPA</w:t>
      </w:r>
    </w:p>
    <w:p w:rsidR="009B656D" w:rsidRDefault="00227C0D" w:rsidP="00B64FD3">
      <w:pPr>
        <w:spacing w:after="0" w:line="220" w:lineRule="exact"/>
        <w:jc w:val="both"/>
        <w:rPr>
          <w:rFonts w:ascii="Arial Black" w:hAnsi="Arial Black" w:cs="Arial"/>
          <w:color w:val="000000"/>
          <w:lang w:eastAsia="it-IT"/>
        </w:rPr>
      </w:pPr>
      <w:r w:rsidRPr="001F60FC">
        <w:rPr>
          <w:rFonts w:ascii="Arial Black" w:hAnsi="Arial Black" w:cs="Arial"/>
          <w:color w:val="000000"/>
          <w:lang w:eastAsia="it-IT"/>
        </w:rPr>
        <w:t xml:space="preserve">Dichiarazione di </w:t>
      </w:r>
      <w:r w:rsidR="00261D76">
        <w:rPr>
          <w:rFonts w:ascii="Arial Black" w:hAnsi="Arial Black" w:cs="Arial"/>
          <w:color w:val="000000"/>
          <w:lang w:eastAsia="it-IT"/>
        </w:rPr>
        <w:t>G</w:t>
      </w:r>
      <w:r w:rsidR="00397211">
        <w:rPr>
          <w:rFonts w:ascii="Arial Black" w:hAnsi="Arial Black" w:cs="Arial"/>
          <w:color w:val="000000"/>
          <w:lang w:eastAsia="it-IT"/>
        </w:rPr>
        <w:t>i</w:t>
      </w:r>
      <w:r w:rsidR="00261D76">
        <w:rPr>
          <w:rFonts w:ascii="Arial Black" w:hAnsi="Arial Black" w:cs="Arial"/>
          <w:color w:val="000000"/>
          <w:lang w:eastAsia="it-IT"/>
        </w:rPr>
        <w:t>use</w:t>
      </w:r>
      <w:r w:rsidR="00397211">
        <w:rPr>
          <w:rFonts w:ascii="Arial Black" w:hAnsi="Arial Black" w:cs="Arial"/>
          <w:color w:val="000000"/>
          <w:lang w:eastAsia="it-IT"/>
        </w:rPr>
        <w:t>pp</w:t>
      </w:r>
      <w:r w:rsidR="00261D76">
        <w:rPr>
          <w:rFonts w:ascii="Arial Black" w:hAnsi="Arial Black" w:cs="Arial"/>
          <w:color w:val="000000"/>
          <w:lang w:eastAsia="it-IT"/>
        </w:rPr>
        <w:t>e R</w:t>
      </w:r>
      <w:r w:rsidR="00397211">
        <w:rPr>
          <w:rFonts w:ascii="Arial Black" w:hAnsi="Arial Black" w:cs="Arial"/>
          <w:color w:val="000000"/>
          <w:lang w:eastAsia="it-IT"/>
        </w:rPr>
        <w:t>o</w:t>
      </w:r>
      <w:r w:rsidR="00261D76">
        <w:rPr>
          <w:rFonts w:ascii="Arial Black" w:hAnsi="Arial Black" w:cs="Arial"/>
          <w:color w:val="000000"/>
          <w:lang w:eastAsia="it-IT"/>
        </w:rPr>
        <w:t>ss</w:t>
      </w:r>
      <w:r w:rsidR="00397211">
        <w:rPr>
          <w:rFonts w:ascii="Arial Black" w:hAnsi="Arial Black" w:cs="Arial"/>
          <w:color w:val="000000"/>
          <w:lang w:eastAsia="it-IT"/>
        </w:rPr>
        <w:t>i</w:t>
      </w:r>
      <w:r w:rsidR="00261D76">
        <w:rPr>
          <w:rFonts w:ascii="Arial Black" w:hAnsi="Arial Black" w:cs="Arial"/>
          <w:color w:val="000000"/>
          <w:lang w:eastAsia="it-IT"/>
        </w:rPr>
        <w:t xml:space="preserve"> Pr</w:t>
      </w:r>
      <w:r w:rsidR="00397211">
        <w:rPr>
          <w:rFonts w:ascii="Arial Black" w:hAnsi="Arial Black" w:cs="Arial"/>
          <w:color w:val="000000"/>
          <w:lang w:eastAsia="it-IT"/>
        </w:rPr>
        <w:t>e</w:t>
      </w:r>
      <w:r w:rsidR="00261D76">
        <w:rPr>
          <w:rFonts w:ascii="Arial Black" w:hAnsi="Arial Black" w:cs="Arial"/>
          <w:color w:val="000000"/>
          <w:lang w:eastAsia="it-IT"/>
        </w:rPr>
        <w:t>s</w:t>
      </w:r>
      <w:r w:rsidR="00397211">
        <w:rPr>
          <w:rFonts w:ascii="Arial Black" w:hAnsi="Arial Black" w:cs="Arial"/>
          <w:color w:val="000000"/>
          <w:lang w:eastAsia="it-IT"/>
        </w:rPr>
        <w:t>i</w:t>
      </w:r>
      <w:r w:rsidR="00261D76">
        <w:rPr>
          <w:rFonts w:ascii="Arial Black" w:hAnsi="Arial Black" w:cs="Arial"/>
          <w:color w:val="000000"/>
          <w:lang w:eastAsia="it-IT"/>
        </w:rPr>
        <w:t>d</w:t>
      </w:r>
      <w:r w:rsidR="00397211">
        <w:rPr>
          <w:rFonts w:ascii="Arial Black" w:hAnsi="Arial Black" w:cs="Arial"/>
          <w:color w:val="000000"/>
          <w:lang w:eastAsia="it-IT"/>
        </w:rPr>
        <w:t>e</w:t>
      </w:r>
      <w:r w:rsidR="00261D76">
        <w:rPr>
          <w:rFonts w:ascii="Arial Black" w:hAnsi="Arial Black" w:cs="Arial"/>
          <w:color w:val="000000"/>
          <w:lang w:eastAsia="it-IT"/>
        </w:rPr>
        <w:t>n</w:t>
      </w:r>
      <w:r w:rsidR="00397211">
        <w:rPr>
          <w:rFonts w:ascii="Arial Black" w:hAnsi="Arial Black" w:cs="Arial"/>
          <w:color w:val="000000"/>
          <w:lang w:eastAsia="it-IT"/>
        </w:rPr>
        <w:t xml:space="preserve">te di Accredia, </w:t>
      </w:r>
      <w:r w:rsidR="009B656D">
        <w:rPr>
          <w:rFonts w:ascii="Arial Black" w:hAnsi="Arial Black" w:cs="Arial"/>
          <w:color w:val="000000"/>
          <w:lang w:eastAsia="it-IT"/>
        </w:rPr>
        <w:t>in merito alla sentenza della Corte Costituzionale sulla revisione degli autovelox</w:t>
      </w:r>
    </w:p>
    <w:p w:rsidR="00B64FD3" w:rsidRDefault="00B64FD3" w:rsidP="00B64FD3">
      <w:pPr>
        <w:spacing w:after="0" w:line="220" w:lineRule="exact"/>
        <w:jc w:val="both"/>
        <w:rPr>
          <w:rFonts w:ascii="Arial Black" w:hAnsi="Arial Black" w:cs="Arial"/>
          <w:color w:val="000000"/>
          <w:lang w:eastAsia="it-IT"/>
        </w:rPr>
      </w:pPr>
    </w:p>
    <w:p w:rsidR="00D806DD" w:rsidRDefault="00D806DD" w:rsidP="001F60FC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9B656D" w:rsidRDefault="00A153BF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i/>
          <w:color w:val="000000"/>
          <w:lang w:eastAsia="it-IT"/>
        </w:rPr>
        <w:t xml:space="preserve">Roma, </w:t>
      </w:r>
      <w:r w:rsidR="00C25532">
        <w:rPr>
          <w:rFonts w:ascii="Arial" w:hAnsi="Arial" w:cs="Arial"/>
          <w:i/>
          <w:color w:val="000000"/>
          <w:lang w:eastAsia="it-IT"/>
        </w:rPr>
        <w:t>19</w:t>
      </w:r>
      <w:r w:rsidR="00397211">
        <w:rPr>
          <w:rFonts w:ascii="Arial" w:hAnsi="Arial" w:cs="Arial"/>
          <w:i/>
          <w:color w:val="000000"/>
          <w:lang w:eastAsia="it-IT"/>
        </w:rPr>
        <w:t xml:space="preserve"> giugno </w:t>
      </w:r>
      <w:r w:rsidR="00080C9E" w:rsidRPr="0061071F">
        <w:rPr>
          <w:rFonts w:ascii="Arial" w:hAnsi="Arial" w:cs="Arial"/>
          <w:i/>
          <w:color w:val="000000"/>
          <w:lang w:eastAsia="it-IT"/>
        </w:rPr>
        <w:t>2015</w:t>
      </w:r>
      <w:r w:rsidR="00624125">
        <w:rPr>
          <w:rFonts w:ascii="Arial" w:hAnsi="Arial" w:cs="Arial"/>
          <w:color w:val="000000"/>
          <w:lang w:eastAsia="it-IT"/>
        </w:rPr>
        <w:t xml:space="preserve"> –</w:t>
      </w:r>
      <w:r w:rsidR="00804693">
        <w:rPr>
          <w:rFonts w:ascii="Arial" w:hAnsi="Arial" w:cs="Arial"/>
          <w:color w:val="000000"/>
          <w:lang w:eastAsia="it-IT"/>
        </w:rPr>
        <w:t xml:space="preserve"> </w:t>
      </w:r>
      <w:r w:rsidR="009B656D">
        <w:rPr>
          <w:rFonts w:ascii="Arial" w:hAnsi="Arial" w:cs="Arial"/>
          <w:color w:val="000000"/>
          <w:lang w:eastAsia="it-IT"/>
        </w:rPr>
        <w:t>“La decisione della Corte Costituzionale di bocciare l’articolo 45 del codice della strada</w:t>
      </w:r>
      <w:r w:rsidR="00935BC4">
        <w:rPr>
          <w:rFonts w:ascii="Arial" w:hAnsi="Arial" w:cs="Arial"/>
          <w:color w:val="000000"/>
          <w:lang w:eastAsia="it-IT"/>
        </w:rPr>
        <w:t>,</w:t>
      </w:r>
      <w:r w:rsidR="009B656D">
        <w:rPr>
          <w:rFonts w:ascii="Arial" w:hAnsi="Arial" w:cs="Arial"/>
          <w:color w:val="000000"/>
          <w:lang w:eastAsia="it-IT"/>
        </w:rPr>
        <w:t xml:space="preserve"> nella parte in cui non prevede che tutte le apparecchiature siano sottoposte a peri</w:t>
      </w:r>
      <w:r w:rsidR="00935BC4">
        <w:rPr>
          <w:rFonts w:ascii="Arial" w:hAnsi="Arial" w:cs="Arial"/>
          <w:color w:val="000000"/>
          <w:lang w:eastAsia="it-IT"/>
        </w:rPr>
        <w:t>o</w:t>
      </w:r>
      <w:r w:rsidR="009B656D">
        <w:rPr>
          <w:rFonts w:ascii="Arial" w:hAnsi="Arial" w:cs="Arial"/>
          <w:color w:val="000000"/>
          <w:lang w:eastAsia="it-IT"/>
        </w:rPr>
        <w:t>diche verif</w:t>
      </w:r>
      <w:r w:rsidR="00935BC4">
        <w:rPr>
          <w:rFonts w:ascii="Arial" w:hAnsi="Arial" w:cs="Arial"/>
          <w:color w:val="000000"/>
          <w:lang w:eastAsia="it-IT"/>
        </w:rPr>
        <w:t xml:space="preserve">iche di funzionalità e taratura, </w:t>
      </w:r>
      <w:r w:rsidR="009B656D">
        <w:rPr>
          <w:rFonts w:ascii="Arial" w:hAnsi="Arial" w:cs="Arial"/>
          <w:color w:val="000000"/>
          <w:lang w:eastAsia="it-IT"/>
        </w:rPr>
        <w:t xml:space="preserve">è senz’altro positiva, da accogliere come garanzia di qualità </w:t>
      </w:r>
      <w:r w:rsidR="00935BC4">
        <w:rPr>
          <w:rFonts w:ascii="Arial" w:hAnsi="Arial" w:cs="Arial"/>
          <w:color w:val="000000"/>
          <w:lang w:eastAsia="it-IT"/>
        </w:rPr>
        <w:t xml:space="preserve">degli strumenti </w:t>
      </w:r>
      <w:r w:rsidR="009B656D">
        <w:rPr>
          <w:rFonts w:ascii="Arial" w:hAnsi="Arial" w:cs="Arial"/>
          <w:color w:val="000000"/>
          <w:lang w:eastAsia="it-IT"/>
        </w:rPr>
        <w:t>e tutela dei cittadini</w:t>
      </w:r>
      <w:r w:rsidR="00973AF2">
        <w:rPr>
          <w:rFonts w:ascii="Arial" w:hAnsi="Arial" w:cs="Arial"/>
          <w:color w:val="000000"/>
          <w:lang w:eastAsia="it-IT"/>
        </w:rPr>
        <w:t>”.</w:t>
      </w:r>
    </w:p>
    <w:p w:rsidR="009B656D" w:rsidRDefault="009B656D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9B656D" w:rsidRDefault="009B656D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“Condivido la posizione dei giudici, che ritengono </w:t>
      </w:r>
      <w:r w:rsidR="00973AF2">
        <w:rPr>
          <w:rFonts w:ascii="Arial" w:hAnsi="Arial" w:cs="Arial"/>
          <w:color w:val="000000"/>
          <w:lang w:eastAsia="it-IT"/>
        </w:rPr>
        <w:t xml:space="preserve">irragionevole non prevedere l’obbligo di sottoporre a controlli strumenti di misura, in particolare se elettronici, sottoposti a obsolescenza </w:t>
      </w:r>
      <w:r w:rsidR="00935BC4">
        <w:rPr>
          <w:rFonts w:ascii="Arial" w:hAnsi="Arial" w:cs="Arial"/>
          <w:color w:val="000000"/>
          <w:lang w:eastAsia="it-IT"/>
        </w:rPr>
        <w:t xml:space="preserve">e di conseguenza al rischio di inaffidabilità e </w:t>
      </w:r>
      <w:r w:rsidR="00973AF2">
        <w:rPr>
          <w:rFonts w:ascii="Arial" w:hAnsi="Arial" w:cs="Arial"/>
          <w:color w:val="000000"/>
          <w:lang w:eastAsia="it-IT"/>
        </w:rPr>
        <w:t xml:space="preserve">alterazione dei valori, a tutto svantaggio dei cittadini, spesso chiamati a pagare sanzioni ingiuste”. </w:t>
      </w:r>
    </w:p>
    <w:p w:rsidR="009B656D" w:rsidRDefault="009B656D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973AF2" w:rsidRDefault="00973AF2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“Uno dei tre Dipartimenti di Accredia è dedicato proprio all’accreditamento dei Laboratori di Taratura che, insieme al nostro corpo ispettivo</w:t>
      </w:r>
      <w:r w:rsidR="00C25532">
        <w:rPr>
          <w:rFonts w:ascii="Arial" w:hAnsi="Arial" w:cs="Arial"/>
          <w:color w:val="000000"/>
          <w:lang w:eastAsia="it-IT"/>
        </w:rPr>
        <w:t xml:space="preserve"> e ai tecnici</w:t>
      </w:r>
      <w:r>
        <w:rPr>
          <w:rFonts w:ascii="Arial" w:hAnsi="Arial" w:cs="Arial"/>
          <w:color w:val="000000"/>
          <w:lang w:eastAsia="it-IT"/>
        </w:rPr>
        <w:t>, assicura la qualità degli strumenti</w:t>
      </w:r>
      <w:r w:rsidR="00C25532">
        <w:rPr>
          <w:rFonts w:ascii="Arial" w:hAnsi="Arial" w:cs="Arial"/>
          <w:color w:val="000000"/>
          <w:lang w:eastAsia="it-IT"/>
        </w:rPr>
        <w:t xml:space="preserve"> di misura</w:t>
      </w:r>
      <w:r>
        <w:rPr>
          <w:rFonts w:ascii="Arial" w:hAnsi="Arial" w:cs="Arial"/>
          <w:color w:val="000000"/>
          <w:lang w:eastAsia="it-IT"/>
        </w:rPr>
        <w:t xml:space="preserve"> e il rispetto </w:t>
      </w:r>
      <w:r w:rsidR="00C25532">
        <w:rPr>
          <w:rFonts w:ascii="Arial" w:hAnsi="Arial" w:cs="Arial"/>
          <w:color w:val="000000"/>
          <w:lang w:eastAsia="it-IT"/>
        </w:rPr>
        <w:t>delle leggi e degli standard più elevati in settori come quello sanitario, l’ottico, della saldatura, della meccanica di precisione, dell’inquinamento ambientale e acustico e della meteorologia”.</w:t>
      </w:r>
    </w:p>
    <w:p w:rsidR="00C25532" w:rsidRDefault="00C25532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C25532" w:rsidRDefault="00C25532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“Inoltre, l’attività del Dipartimento Laboratori di Taratura</w:t>
      </w:r>
      <w:r w:rsidR="00935BC4">
        <w:rPr>
          <w:rFonts w:ascii="Arial" w:hAnsi="Arial" w:cs="Arial"/>
          <w:color w:val="000000"/>
          <w:lang w:eastAsia="it-IT"/>
        </w:rPr>
        <w:t xml:space="preserve"> –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935BC4">
        <w:rPr>
          <w:rFonts w:ascii="Arial" w:hAnsi="Arial" w:cs="Arial"/>
          <w:color w:val="000000"/>
          <w:lang w:eastAsia="it-IT"/>
        </w:rPr>
        <w:t>formata da</w:t>
      </w:r>
      <w:r>
        <w:rPr>
          <w:rFonts w:ascii="Arial" w:hAnsi="Arial" w:cs="Arial"/>
          <w:color w:val="000000"/>
          <w:lang w:eastAsia="it-IT"/>
        </w:rPr>
        <w:t xml:space="preserve"> 72 ispettori e 17 esperti di settore che lo scorso anno hanno svolto 593 giornate di verifica</w:t>
      </w:r>
      <w:r w:rsidR="00935BC4">
        <w:rPr>
          <w:rFonts w:ascii="Arial" w:hAnsi="Arial" w:cs="Arial"/>
          <w:color w:val="000000"/>
          <w:lang w:eastAsia="it-IT"/>
        </w:rPr>
        <w:t xml:space="preserve"> </w:t>
      </w:r>
      <w:r w:rsidR="009E344D">
        <w:rPr>
          <w:rFonts w:ascii="Arial" w:hAnsi="Arial" w:cs="Arial"/>
          <w:color w:val="000000"/>
          <w:lang w:eastAsia="it-IT"/>
        </w:rPr>
        <w:t>–</w:t>
      </w:r>
      <w:bookmarkStart w:id="0" w:name="_GoBack"/>
      <w:bookmarkEnd w:id="0"/>
      <w:r>
        <w:rPr>
          <w:rFonts w:ascii="Arial" w:hAnsi="Arial" w:cs="Arial"/>
          <w:color w:val="000000"/>
          <w:lang w:eastAsia="it-IT"/>
        </w:rPr>
        <w:t xml:space="preserve"> è cresciuta del 2% nell’ultimo anno e del 4,5% nei suoi cinque anni di vita. Nel 2014 si registrano 170 laboratori accreditati, </w:t>
      </w:r>
      <w:r w:rsidRPr="0010200E">
        <w:rPr>
          <w:rFonts w:ascii="Arial" w:hAnsi="Arial" w:cs="Arial"/>
          <w:color w:val="000000"/>
          <w:lang w:eastAsia="it-IT"/>
        </w:rPr>
        <w:t>che hanno e</w:t>
      </w:r>
      <w:r w:rsidR="00261D76" w:rsidRPr="0010200E">
        <w:rPr>
          <w:rFonts w:ascii="Arial" w:hAnsi="Arial" w:cs="Arial"/>
          <w:color w:val="000000"/>
          <w:lang w:eastAsia="it-IT"/>
        </w:rPr>
        <w:t>mess</w:t>
      </w:r>
      <w:r w:rsidRPr="0010200E">
        <w:rPr>
          <w:rFonts w:ascii="Arial" w:hAnsi="Arial" w:cs="Arial"/>
          <w:color w:val="000000"/>
          <w:lang w:eastAsia="it-IT"/>
        </w:rPr>
        <w:t>o oltre 10</w:t>
      </w:r>
      <w:r w:rsidR="00261D76" w:rsidRPr="0010200E">
        <w:rPr>
          <w:rFonts w:ascii="Arial" w:hAnsi="Arial" w:cs="Arial"/>
          <w:color w:val="000000"/>
          <w:lang w:eastAsia="it-IT"/>
        </w:rPr>
        <w:t>5mila certificati</w:t>
      </w:r>
      <w:r w:rsidR="00261D76">
        <w:rPr>
          <w:rFonts w:ascii="Arial" w:hAnsi="Arial" w:cs="Arial"/>
          <w:color w:val="000000"/>
          <w:lang w:eastAsia="it-IT"/>
        </w:rPr>
        <w:t xml:space="preserve"> di taratura”.</w:t>
      </w:r>
    </w:p>
    <w:p w:rsidR="00C25532" w:rsidRDefault="00C25532" w:rsidP="00863D8E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D17C1B" w:rsidRDefault="00D17C1B" w:rsidP="00D17C1B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D450B2" w:rsidRDefault="00D450B2" w:rsidP="00D450B2">
      <w:pPr>
        <w:spacing w:after="0" w:line="220" w:lineRule="exact"/>
        <w:jc w:val="both"/>
        <w:rPr>
          <w:rFonts w:ascii="Arial" w:hAnsi="Arial" w:cs="Arial"/>
          <w:color w:val="000000"/>
          <w:lang w:eastAsia="it-IT"/>
        </w:rPr>
      </w:pPr>
    </w:p>
    <w:p w:rsidR="00D004ED" w:rsidRPr="00037B51" w:rsidRDefault="00D004ED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  <w:r w:rsidRPr="00037B51">
        <w:rPr>
          <w:rFonts w:cs="Arial"/>
          <w:b/>
          <w:i/>
          <w:noProof/>
          <w:szCs w:val="20"/>
        </w:rPr>
        <w:t>Accredia</w:t>
      </w:r>
      <w:r w:rsidRPr="00037B51">
        <w:rPr>
          <w:rFonts w:cs="Arial"/>
          <w:i/>
          <w:noProof/>
          <w:szCs w:val="20"/>
        </w:rPr>
        <w:t xml:space="preserve"> è l'Ente unico nazionale di accreditamento designato dal Governo italiano. Il suo compito è attestare la competenza, l’imparzialità e l’indipendenza dei laboratori ed organismi che verificano la conformità di prodotti, servizi e professionisti agli standard normativi di riferimento, facilitandone la circolazione a livello internazionale.</w:t>
      </w:r>
    </w:p>
    <w:p w:rsidR="00D004ED" w:rsidRPr="00037B51" w:rsidRDefault="00D004ED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</w:p>
    <w:p w:rsidR="00D004ED" w:rsidRDefault="00D004ED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  <w:r w:rsidRPr="00037B51">
        <w:rPr>
          <w:rFonts w:cs="Arial"/>
          <w:i/>
          <w:noProof/>
          <w:szCs w:val="20"/>
        </w:rPr>
        <w:t xml:space="preserve">Accredia è un’associazione privata senza scopo di lucro che opera sotto la vigilanza del Ministero dello Sviluppo Economico e svolge un’attività di interesse pubblico, a garanzia delle istituzioni, delle imprese e dei consumatori. </w:t>
      </w:r>
    </w:p>
    <w:p w:rsidR="00D004ED" w:rsidRPr="00037B51" w:rsidRDefault="00D004ED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</w:p>
    <w:p w:rsidR="00D004ED" w:rsidRDefault="00D004ED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  <w:r>
        <w:rPr>
          <w:rFonts w:cs="Arial"/>
          <w:i/>
          <w:noProof/>
          <w:szCs w:val="20"/>
        </w:rPr>
        <w:t>N</w:t>
      </w:r>
      <w:r w:rsidRPr="000F576B">
        <w:rPr>
          <w:rFonts w:cs="Arial"/>
          <w:i/>
          <w:noProof/>
          <w:szCs w:val="20"/>
        </w:rPr>
        <w:t>el 2014 sono stati 1.572 gli organismi ed i laboratori sotto accreditamento, di cui 291 organismi di certificazione, ispezione e verifica, 1.111 laboratori di prova e 170 laboratori di taratura. In particolare, sono stati certificati sotto accreditamento i sistemi di gestione di oltre 87.000 aziende e di circa 141.000 siti produttivi, oltre che 100.000 prodotti e servizi e più di 145.000 figure professionali, mentre i laboratori accreditati hanno analizzato 5 milioni di prodotti, di cui 3,5 milioni in ambito alimentare. Il fatturato degli organismi di certificazione e ispezione accreditati nel 2013 ha superato i 344 milioni di Euro, in crescita del 12% rispetto al 2012.</w:t>
      </w:r>
    </w:p>
    <w:p w:rsidR="0010200E" w:rsidRPr="000F576B" w:rsidRDefault="0010200E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</w:p>
    <w:p w:rsidR="00D004ED" w:rsidRPr="00037B51" w:rsidRDefault="00D004ED" w:rsidP="00D004ED">
      <w:pPr>
        <w:spacing w:after="0" w:line="240" w:lineRule="auto"/>
        <w:jc w:val="both"/>
        <w:rPr>
          <w:rFonts w:cs="Arial"/>
          <w:b/>
          <w:i/>
          <w:noProof/>
          <w:szCs w:val="20"/>
        </w:rPr>
      </w:pPr>
    </w:p>
    <w:p w:rsidR="00D004ED" w:rsidRPr="00037B51" w:rsidRDefault="00D004ED" w:rsidP="00D004ED">
      <w:pPr>
        <w:spacing w:after="0" w:line="240" w:lineRule="auto"/>
        <w:jc w:val="both"/>
        <w:rPr>
          <w:rFonts w:cs="Arial"/>
          <w:i/>
          <w:noProof/>
          <w:szCs w:val="20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961"/>
        <w:gridCol w:w="4142"/>
        <w:gridCol w:w="3924"/>
      </w:tblGrid>
      <w:tr w:rsidR="00D004ED" w:rsidRPr="00037B51" w:rsidTr="001D28B8">
        <w:tc>
          <w:tcPr>
            <w:tcW w:w="961" w:type="dxa"/>
            <w:hideMark/>
          </w:tcPr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i/>
                <w:noProof/>
                <w:szCs w:val="20"/>
              </w:rPr>
            </w:pPr>
            <w:proofErr w:type="spellStart"/>
            <w:r w:rsidRPr="00037B51">
              <w:rPr>
                <w:rFonts w:cs="Arial"/>
                <w:szCs w:val="20"/>
              </w:rPr>
              <w:lastRenderedPageBreak/>
              <w:t>Contact</w:t>
            </w:r>
            <w:proofErr w:type="spellEnd"/>
            <w:r w:rsidRPr="00037B51">
              <w:rPr>
                <w:rFonts w:cs="Arial"/>
                <w:szCs w:val="20"/>
              </w:rPr>
              <w:t>:</w:t>
            </w:r>
          </w:p>
        </w:tc>
        <w:tc>
          <w:tcPr>
            <w:tcW w:w="4142" w:type="dxa"/>
          </w:tcPr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037B51">
              <w:rPr>
                <w:rFonts w:cs="Arial"/>
                <w:szCs w:val="20"/>
              </w:rPr>
              <w:t>Barabino&amp;Partners</w:t>
            </w:r>
            <w:proofErr w:type="spellEnd"/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037B51">
              <w:rPr>
                <w:rFonts w:cs="Arial"/>
                <w:szCs w:val="20"/>
              </w:rPr>
              <w:t>Raffaella Nani</w:t>
            </w:r>
          </w:p>
          <w:p w:rsidR="00D004ED" w:rsidRPr="00037B51" w:rsidRDefault="009E344D" w:rsidP="00D004E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hyperlink r:id="rId7" w:history="1">
              <w:r w:rsidR="00D004ED" w:rsidRPr="00037B51">
                <w:rPr>
                  <w:rStyle w:val="Collegamentoipertestuale"/>
                  <w:rFonts w:cs="Arial"/>
                  <w:szCs w:val="20"/>
                </w:rPr>
                <w:t>r.nani@barabino.it</w:t>
              </w:r>
            </w:hyperlink>
            <w:r w:rsidR="00D004ED" w:rsidRPr="00037B51">
              <w:rPr>
                <w:rFonts w:cs="Arial"/>
                <w:szCs w:val="20"/>
              </w:rPr>
              <w:t xml:space="preserve"> </w:t>
            </w:r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Cell 335.121.77.21</w:t>
            </w:r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Domenico Lofano</w:t>
            </w:r>
          </w:p>
          <w:p w:rsidR="00D004ED" w:rsidRPr="00037B51" w:rsidRDefault="009E344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hyperlink r:id="rId8" w:history="1">
              <w:r w:rsidR="00D004ED" w:rsidRPr="00037B51">
                <w:rPr>
                  <w:rStyle w:val="Collegamentoipertestuale"/>
                  <w:rFonts w:cs="Arial"/>
                  <w:noProof/>
                  <w:szCs w:val="20"/>
                </w:rPr>
                <w:t>d.lofano@barabino.it</w:t>
              </w:r>
            </w:hyperlink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Cell 334.141.29.95</w:t>
            </w:r>
          </w:p>
        </w:tc>
        <w:tc>
          <w:tcPr>
            <w:tcW w:w="3924" w:type="dxa"/>
          </w:tcPr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Accredia</w:t>
            </w:r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 xml:space="preserve">Francesca Nizzero </w:t>
            </w:r>
          </w:p>
          <w:p w:rsidR="00D004ED" w:rsidRPr="00037B51" w:rsidRDefault="009E344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hyperlink r:id="rId9" w:history="1">
              <w:r w:rsidR="00D004ED" w:rsidRPr="00037B51">
                <w:rPr>
                  <w:rStyle w:val="Collegamentoipertestuale"/>
                  <w:rFonts w:cs="Arial"/>
                  <w:noProof/>
                  <w:szCs w:val="20"/>
                </w:rPr>
                <w:t>f.nizzero@accredia.it</w:t>
              </w:r>
            </w:hyperlink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Tel. 06.844099.23</w:t>
            </w:r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</w:p>
          <w:p w:rsidR="00D004ED" w:rsidRPr="00037B51" w:rsidRDefault="00D004ED" w:rsidP="00D004ED">
            <w:pPr>
              <w:spacing w:after="0"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D004ED" w:rsidRPr="00037B51" w:rsidRDefault="00D004ED" w:rsidP="00D004ED">
      <w:pPr>
        <w:spacing w:after="0" w:line="240" w:lineRule="auto"/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Pr="00037B51">
        <w:rPr>
          <w:rFonts w:cs="Arial"/>
          <w:szCs w:val="20"/>
        </w:rPr>
        <w:t>Tel. 06.679.29.29</w:t>
      </w:r>
    </w:p>
    <w:p w:rsidR="00D004ED" w:rsidRDefault="00D004ED" w:rsidP="00D004ED">
      <w:pPr>
        <w:jc w:val="both"/>
        <w:rPr>
          <w:rFonts w:cs="Arial"/>
          <w:szCs w:val="20"/>
        </w:rPr>
      </w:pPr>
    </w:p>
    <w:sectPr w:rsidR="00D004ED" w:rsidSect="00EC15AC">
      <w:headerReference w:type="default" r:id="rId10"/>
      <w:pgSz w:w="11906" w:h="16838"/>
      <w:pgMar w:top="396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49" w:rsidRDefault="006E4A49" w:rsidP="001F60FC">
      <w:pPr>
        <w:spacing w:after="0" w:line="240" w:lineRule="auto"/>
      </w:pPr>
      <w:r>
        <w:separator/>
      </w:r>
    </w:p>
  </w:endnote>
  <w:endnote w:type="continuationSeparator" w:id="0">
    <w:p w:rsidR="006E4A49" w:rsidRDefault="006E4A49" w:rsidP="001F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49" w:rsidRDefault="006E4A49" w:rsidP="001F60FC">
      <w:pPr>
        <w:spacing w:after="0" w:line="240" w:lineRule="auto"/>
      </w:pPr>
      <w:r>
        <w:separator/>
      </w:r>
    </w:p>
  </w:footnote>
  <w:footnote w:type="continuationSeparator" w:id="0">
    <w:p w:rsidR="006E4A49" w:rsidRDefault="006E4A49" w:rsidP="001F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FC" w:rsidRDefault="001F60FC" w:rsidP="001F60FC">
    <w:pPr>
      <w:pStyle w:val="Intestazione"/>
      <w:jc w:val="center"/>
    </w:pPr>
    <w:r w:rsidRPr="001F60FC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1704975" cy="6762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4"/>
    <w:rsid w:val="000006B7"/>
    <w:rsid w:val="0002379C"/>
    <w:rsid w:val="000527DC"/>
    <w:rsid w:val="00056013"/>
    <w:rsid w:val="00057804"/>
    <w:rsid w:val="00066794"/>
    <w:rsid w:val="00080C9E"/>
    <w:rsid w:val="00091A98"/>
    <w:rsid w:val="000C0140"/>
    <w:rsid w:val="000E4EA0"/>
    <w:rsid w:val="000F57C0"/>
    <w:rsid w:val="0010200E"/>
    <w:rsid w:val="00133676"/>
    <w:rsid w:val="00135FCF"/>
    <w:rsid w:val="001365FF"/>
    <w:rsid w:val="00136627"/>
    <w:rsid w:val="00143404"/>
    <w:rsid w:val="00152795"/>
    <w:rsid w:val="00154982"/>
    <w:rsid w:val="00165837"/>
    <w:rsid w:val="001B040D"/>
    <w:rsid w:val="001D3C62"/>
    <w:rsid w:val="001E03FB"/>
    <w:rsid w:val="001F60FC"/>
    <w:rsid w:val="00216907"/>
    <w:rsid w:val="00222D80"/>
    <w:rsid w:val="00225210"/>
    <w:rsid w:val="00227C0D"/>
    <w:rsid w:val="00230B05"/>
    <w:rsid w:val="002366B4"/>
    <w:rsid w:val="0024527A"/>
    <w:rsid w:val="00261D76"/>
    <w:rsid w:val="00262694"/>
    <w:rsid w:val="00267730"/>
    <w:rsid w:val="002756EA"/>
    <w:rsid w:val="002954FF"/>
    <w:rsid w:val="002C3F82"/>
    <w:rsid w:val="002E1C2F"/>
    <w:rsid w:val="002E4B3A"/>
    <w:rsid w:val="002F074C"/>
    <w:rsid w:val="002F770B"/>
    <w:rsid w:val="002F7CDD"/>
    <w:rsid w:val="00330B8F"/>
    <w:rsid w:val="00351DC6"/>
    <w:rsid w:val="00360CFE"/>
    <w:rsid w:val="00397211"/>
    <w:rsid w:val="003A3A30"/>
    <w:rsid w:val="003B24E9"/>
    <w:rsid w:val="003D6053"/>
    <w:rsid w:val="003D673A"/>
    <w:rsid w:val="004256AC"/>
    <w:rsid w:val="00432037"/>
    <w:rsid w:val="00433A84"/>
    <w:rsid w:val="00463FA9"/>
    <w:rsid w:val="00480693"/>
    <w:rsid w:val="00485997"/>
    <w:rsid w:val="004C20B9"/>
    <w:rsid w:val="004D272B"/>
    <w:rsid w:val="004E5397"/>
    <w:rsid w:val="004F7CE0"/>
    <w:rsid w:val="00544EFC"/>
    <w:rsid w:val="00552735"/>
    <w:rsid w:val="0056645D"/>
    <w:rsid w:val="00572FAB"/>
    <w:rsid w:val="0058671C"/>
    <w:rsid w:val="005A39D0"/>
    <w:rsid w:val="005B2F25"/>
    <w:rsid w:val="005B412C"/>
    <w:rsid w:val="005B5856"/>
    <w:rsid w:val="005B60E0"/>
    <w:rsid w:val="005F6257"/>
    <w:rsid w:val="0061071F"/>
    <w:rsid w:val="00624125"/>
    <w:rsid w:val="00657F9B"/>
    <w:rsid w:val="00671006"/>
    <w:rsid w:val="0069760D"/>
    <w:rsid w:val="006B1AED"/>
    <w:rsid w:val="006B1FCB"/>
    <w:rsid w:val="006E4A49"/>
    <w:rsid w:val="00702751"/>
    <w:rsid w:val="00705922"/>
    <w:rsid w:val="00720BE0"/>
    <w:rsid w:val="00743D86"/>
    <w:rsid w:val="0077505D"/>
    <w:rsid w:val="00780E30"/>
    <w:rsid w:val="00792929"/>
    <w:rsid w:val="00795505"/>
    <w:rsid w:val="007C611A"/>
    <w:rsid w:val="007E119E"/>
    <w:rsid w:val="007F263D"/>
    <w:rsid w:val="007F471E"/>
    <w:rsid w:val="007F6DD7"/>
    <w:rsid w:val="00802C8F"/>
    <w:rsid w:val="00804693"/>
    <w:rsid w:val="00823C40"/>
    <w:rsid w:val="00836E7B"/>
    <w:rsid w:val="00854BC4"/>
    <w:rsid w:val="00863D8E"/>
    <w:rsid w:val="008C2C75"/>
    <w:rsid w:val="008E1442"/>
    <w:rsid w:val="008E3418"/>
    <w:rsid w:val="00916776"/>
    <w:rsid w:val="009347D5"/>
    <w:rsid w:val="00935BC4"/>
    <w:rsid w:val="00950B84"/>
    <w:rsid w:val="009525C1"/>
    <w:rsid w:val="00953CC0"/>
    <w:rsid w:val="009561C6"/>
    <w:rsid w:val="00961F38"/>
    <w:rsid w:val="00973AF2"/>
    <w:rsid w:val="009A711E"/>
    <w:rsid w:val="009B14BC"/>
    <w:rsid w:val="009B656D"/>
    <w:rsid w:val="009C0220"/>
    <w:rsid w:val="009C74B5"/>
    <w:rsid w:val="009E344D"/>
    <w:rsid w:val="00A0225F"/>
    <w:rsid w:val="00A153BF"/>
    <w:rsid w:val="00A244B8"/>
    <w:rsid w:val="00A401AF"/>
    <w:rsid w:val="00A52A22"/>
    <w:rsid w:val="00A566CF"/>
    <w:rsid w:val="00A62555"/>
    <w:rsid w:val="00A65B68"/>
    <w:rsid w:val="00AD4A8E"/>
    <w:rsid w:val="00AE2C5D"/>
    <w:rsid w:val="00B05921"/>
    <w:rsid w:val="00B36641"/>
    <w:rsid w:val="00B41936"/>
    <w:rsid w:val="00B62466"/>
    <w:rsid w:val="00B64FD3"/>
    <w:rsid w:val="00B8504E"/>
    <w:rsid w:val="00B86483"/>
    <w:rsid w:val="00BA062E"/>
    <w:rsid w:val="00BB6F3F"/>
    <w:rsid w:val="00BE2052"/>
    <w:rsid w:val="00BE6086"/>
    <w:rsid w:val="00C25532"/>
    <w:rsid w:val="00C25B8A"/>
    <w:rsid w:val="00C2687D"/>
    <w:rsid w:val="00C33529"/>
    <w:rsid w:val="00C41E22"/>
    <w:rsid w:val="00C529B1"/>
    <w:rsid w:val="00C55430"/>
    <w:rsid w:val="00C55C37"/>
    <w:rsid w:val="00C817F2"/>
    <w:rsid w:val="00C86460"/>
    <w:rsid w:val="00CC2ACC"/>
    <w:rsid w:val="00CD060B"/>
    <w:rsid w:val="00CD589A"/>
    <w:rsid w:val="00CD6D6F"/>
    <w:rsid w:val="00CE7D3B"/>
    <w:rsid w:val="00CF0CAF"/>
    <w:rsid w:val="00CF2DE8"/>
    <w:rsid w:val="00D00201"/>
    <w:rsid w:val="00D004ED"/>
    <w:rsid w:val="00D11608"/>
    <w:rsid w:val="00D17C1B"/>
    <w:rsid w:val="00D422BB"/>
    <w:rsid w:val="00D450B2"/>
    <w:rsid w:val="00D806DD"/>
    <w:rsid w:val="00DC7D7D"/>
    <w:rsid w:val="00DF5FF2"/>
    <w:rsid w:val="00E14CAD"/>
    <w:rsid w:val="00E25966"/>
    <w:rsid w:val="00E304BA"/>
    <w:rsid w:val="00E356F7"/>
    <w:rsid w:val="00E42C04"/>
    <w:rsid w:val="00E44D1B"/>
    <w:rsid w:val="00E56059"/>
    <w:rsid w:val="00EB33F8"/>
    <w:rsid w:val="00EC15AC"/>
    <w:rsid w:val="00ED69B4"/>
    <w:rsid w:val="00EF6999"/>
    <w:rsid w:val="00F60CE6"/>
    <w:rsid w:val="00FA38E6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694"/>
    <w:pPr>
      <w:spacing w:after="200" w:line="276" w:lineRule="auto"/>
    </w:pPr>
    <w:rPr>
      <w:rFonts w:ascii="Helvetica" w:eastAsia="Calibri" w:hAnsi="Helvetica" w:cs="Times New Roman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25532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B24E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6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0FC"/>
    <w:rPr>
      <w:rFonts w:ascii="Helvetica" w:eastAsia="Calibri" w:hAnsi="Helvetic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F6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0FC"/>
    <w:rPr>
      <w:rFonts w:ascii="Helvetica" w:eastAsia="Calibri" w:hAnsi="Helvetica" w:cs="Times New Roman"/>
    </w:rPr>
  </w:style>
  <w:style w:type="paragraph" w:styleId="NormaleWeb">
    <w:name w:val="Normal (Web)"/>
    <w:basedOn w:val="Normale"/>
    <w:uiPriority w:val="99"/>
    <w:semiHidden/>
    <w:unhideWhenUsed/>
    <w:rsid w:val="00D806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92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153BF"/>
  </w:style>
  <w:style w:type="character" w:styleId="Enfasigrassetto">
    <w:name w:val="Strong"/>
    <w:basedOn w:val="Carpredefinitoparagrafo"/>
    <w:uiPriority w:val="22"/>
    <w:qFormat/>
    <w:rsid w:val="0002379C"/>
    <w:rPr>
      <w:b/>
      <w:bCs/>
    </w:rPr>
  </w:style>
  <w:style w:type="character" w:styleId="Enfasicorsivo">
    <w:name w:val="Emphasis"/>
    <w:basedOn w:val="Carpredefinitoparagrafo"/>
    <w:uiPriority w:val="20"/>
    <w:qFormat/>
    <w:rsid w:val="00A65B68"/>
    <w:rPr>
      <w:i/>
      <w:iCs/>
    </w:rPr>
  </w:style>
  <w:style w:type="character" w:customStyle="1" w:styleId="searchkey">
    <w:name w:val="searchkey"/>
    <w:basedOn w:val="Carpredefinitoparagrafo"/>
    <w:rsid w:val="009B656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532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694"/>
    <w:pPr>
      <w:spacing w:after="200" w:line="276" w:lineRule="auto"/>
    </w:pPr>
    <w:rPr>
      <w:rFonts w:ascii="Helvetica" w:eastAsia="Calibri" w:hAnsi="Helvetica" w:cs="Times New Roman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25532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B24E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6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0FC"/>
    <w:rPr>
      <w:rFonts w:ascii="Helvetica" w:eastAsia="Calibri" w:hAnsi="Helvetic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F6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0FC"/>
    <w:rPr>
      <w:rFonts w:ascii="Helvetica" w:eastAsia="Calibri" w:hAnsi="Helvetica" w:cs="Times New Roman"/>
    </w:rPr>
  </w:style>
  <w:style w:type="paragraph" w:styleId="NormaleWeb">
    <w:name w:val="Normal (Web)"/>
    <w:basedOn w:val="Normale"/>
    <w:uiPriority w:val="99"/>
    <w:semiHidden/>
    <w:unhideWhenUsed/>
    <w:rsid w:val="00D806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92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153BF"/>
  </w:style>
  <w:style w:type="character" w:styleId="Enfasigrassetto">
    <w:name w:val="Strong"/>
    <w:basedOn w:val="Carpredefinitoparagrafo"/>
    <w:uiPriority w:val="22"/>
    <w:qFormat/>
    <w:rsid w:val="0002379C"/>
    <w:rPr>
      <w:b/>
      <w:bCs/>
    </w:rPr>
  </w:style>
  <w:style w:type="character" w:styleId="Enfasicorsivo">
    <w:name w:val="Emphasis"/>
    <w:basedOn w:val="Carpredefinitoparagrafo"/>
    <w:uiPriority w:val="20"/>
    <w:qFormat/>
    <w:rsid w:val="00A65B68"/>
    <w:rPr>
      <w:i/>
      <w:iCs/>
    </w:rPr>
  </w:style>
  <w:style w:type="character" w:customStyle="1" w:styleId="searchkey">
    <w:name w:val="searchkey"/>
    <w:basedOn w:val="Carpredefinitoparagrafo"/>
    <w:rsid w:val="009B656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532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ofano@barab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nani@barabin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nizzero@accre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Lofano Domenico</dc:creator>
  <cp:lastModifiedBy>Francesca Nizzero</cp:lastModifiedBy>
  <cp:revision>5</cp:revision>
  <cp:lastPrinted>2015-06-22T09:31:00Z</cp:lastPrinted>
  <dcterms:created xsi:type="dcterms:W3CDTF">2015-06-19T10:12:00Z</dcterms:created>
  <dcterms:modified xsi:type="dcterms:W3CDTF">2015-06-22T09:32:00Z</dcterms:modified>
</cp:coreProperties>
</file>