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topFromText="567" w:bottomFromText="425" w:vertAnchor="page" w:horzAnchor="margin" w:tblpXSpec="center" w:tblpY="2836"/>
        <w:tblOverlap w:val="nev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277D8" w:rsidRPr="00344D37" w14:paraId="49A5DB0C" w14:textId="77777777" w:rsidTr="00795A43">
        <w:trPr>
          <w:trHeight w:val="283"/>
        </w:trPr>
        <w:tc>
          <w:tcPr>
            <w:tcW w:w="3212" w:type="dxa"/>
          </w:tcPr>
          <w:p w14:paraId="0AD796D6" w14:textId="77777777" w:rsidR="005277D8" w:rsidRPr="00DD64EB" w:rsidRDefault="005277D8" w:rsidP="005277D8">
            <w:pPr>
              <w:spacing w:line="260" w:lineRule="exact"/>
              <w:rPr>
                <w:rFonts w:ascii="Verdana" w:hAnsi="Verdana"/>
                <w:b/>
                <w:color w:val="636462"/>
                <w:spacing w:val="48"/>
                <w:sz w:val="16"/>
                <w:szCs w:val="16"/>
              </w:rPr>
            </w:pPr>
          </w:p>
        </w:tc>
        <w:tc>
          <w:tcPr>
            <w:tcW w:w="3213" w:type="dxa"/>
            <w:tcBorders>
              <w:bottom w:val="single" w:sz="24" w:space="0" w:color="FFC000"/>
            </w:tcBorders>
            <w:tcFitText/>
            <w:vAlign w:val="center"/>
          </w:tcPr>
          <w:p w14:paraId="0BC23728" w14:textId="77777777" w:rsidR="005277D8" w:rsidRPr="00344D37" w:rsidRDefault="005277D8" w:rsidP="005277D8">
            <w:pPr>
              <w:spacing w:line="260" w:lineRule="exact"/>
              <w:rPr>
                <w:rFonts w:ascii="Verdana" w:hAnsi="Verdana"/>
              </w:rPr>
            </w:pPr>
            <w:r w:rsidRPr="005277D8">
              <w:rPr>
                <w:rFonts w:ascii="Verdana" w:hAnsi="Verdana"/>
                <w:b/>
                <w:color w:val="636462"/>
                <w:spacing w:val="72"/>
                <w:sz w:val="16"/>
                <w:szCs w:val="16"/>
              </w:rPr>
              <w:t>COMUNICATO STAMP</w:t>
            </w:r>
            <w:r w:rsidRPr="005277D8">
              <w:rPr>
                <w:rFonts w:ascii="Verdana" w:hAnsi="Verdana"/>
                <w:b/>
                <w:color w:val="636462"/>
                <w:spacing w:val="5"/>
                <w:sz w:val="16"/>
                <w:szCs w:val="16"/>
              </w:rPr>
              <w:t>A</w:t>
            </w:r>
          </w:p>
        </w:tc>
        <w:tc>
          <w:tcPr>
            <w:tcW w:w="3213" w:type="dxa"/>
            <w:tcMar>
              <w:left w:w="170" w:type="dxa"/>
            </w:tcMar>
            <w:vAlign w:val="center"/>
          </w:tcPr>
          <w:p w14:paraId="34CAC1D7" w14:textId="77777777" w:rsidR="005277D8" w:rsidRPr="00344D37" w:rsidRDefault="005277D8" w:rsidP="005277D8">
            <w:pPr>
              <w:spacing w:line="260" w:lineRule="exact"/>
              <w:rPr>
                <w:rFonts w:ascii="Verdana" w:hAnsi="Verdana"/>
                <w:sz w:val="18"/>
                <w:szCs w:val="18"/>
              </w:rPr>
            </w:pPr>
          </w:p>
          <w:p w14:paraId="617B1372" w14:textId="77777777" w:rsidR="005277D8" w:rsidRPr="00344D37" w:rsidRDefault="005277D8" w:rsidP="005277D8">
            <w:pPr>
              <w:spacing w:line="26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2FC5D4" w14:textId="77777777" w:rsidR="009A3BC1" w:rsidRPr="00D85C62" w:rsidRDefault="009A3BC1" w:rsidP="009A3BC1">
      <w:pPr>
        <w:spacing w:line="260" w:lineRule="exact"/>
        <w:ind w:right="-1"/>
        <w:jc w:val="both"/>
        <w:rPr>
          <w:rFonts w:ascii="Verdana" w:hAnsi="Verdana" w:cs="Arial"/>
          <w:b/>
          <w:bCs/>
          <w:color w:val="000000" w:themeColor="text1"/>
          <w:spacing w:val="10"/>
          <w:sz w:val="20"/>
          <w:szCs w:val="22"/>
        </w:rPr>
      </w:pPr>
    </w:p>
    <w:p w14:paraId="03AD253E" w14:textId="5744BDBA" w:rsidR="00B90201" w:rsidRDefault="00752313" w:rsidP="005277D8">
      <w:pPr>
        <w:pStyle w:val="paragraph"/>
        <w:spacing w:before="0" w:beforeAutospacing="0" w:after="0" w:afterAutospacing="0" w:line="260" w:lineRule="exact"/>
        <w:jc w:val="center"/>
        <w:textAlignment w:val="baseline"/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</w:pPr>
      <w:r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 xml:space="preserve">ASSEMBLEA </w:t>
      </w:r>
      <w:r w:rsidR="00D85C62" w:rsidRPr="00D85C62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ACCREDIA: LA PUBBLICA AMMINISTRAZIONE</w:t>
      </w:r>
      <w:r w:rsidR="007C28F3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, LE IMPRESE E</w:t>
      </w:r>
    </w:p>
    <w:p w14:paraId="68C8BE8A" w14:textId="15CB3713" w:rsidR="00D85C62" w:rsidRPr="008E4F96" w:rsidRDefault="007C28F3" w:rsidP="005277D8">
      <w:pPr>
        <w:pStyle w:val="paragraph"/>
        <w:spacing w:before="0" w:beforeAutospacing="0" w:after="0" w:afterAutospacing="0" w:line="260" w:lineRule="exact"/>
        <w:jc w:val="center"/>
        <w:textAlignment w:val="baseline"/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</w:pPr>
      <w:r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 xml:space="preserve">I PROFESSIONISTI </w:t>
      </w:r>
      <w:r w:rsidR="00AE22ED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SI AFFIDANO</w:t>
      </w:r>
      <w:r w:rsidR="00D85C62" w:rsidRPr="00D85C62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 xml:space="preserve"> SEMPRE</w:t>
      </w:r>
      <w:r w:rsidR="00D85C62" w:rsidRPr="00D85C62">
        <w:rPr>
          <w:rFonts w:ascii="Verdana" w:eastAsia="Times New Roman" w:hAnsi="Verdana" w:cs="Arial"/>
          <w:color w:val="000000" w:themeColor="text1"/>
          <w:spacing w:val="10"/>
          <w:szCs w:val="22"/>
        </w:rPr>
        <w:t xml:space="preserve"> </w:t>
      </w:r>
      <w:r w:rsidR="00D85C62" w:rsidRPr="00D85C62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 xml:space="preserve">PIÙ </w:t>
      </w:r>
      <w:r w:rsidR="00D85C62" w:rsidRPr="008E4F96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ALL</w:t>
      </w:r>
      <w:r w:rsidR="00284079" w:rsidRPr="008E4F96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’</w:t>
      </w:r>
      <w:r w:rsidR="00D85C62" w:rsidRPr="008E4F96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ACCREDITA</w:t>
      </w:r>
      <w:r w:rsidR="00284079" w:rsidRPr="008E4F96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MEN</w:t>
      </w:r>
      <w:r w:rsidR="00D85C62" w:rsidRPr="008E4F96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T</w:t>
      </w:r>
      <w:r w:rsidR="005277D8">
        <w:rPr>
          <w:rFonts w:ascii="Verdana" w:eastAsia="Times New Roman" w:hAnsi="Verdana" w:cs="Arial"/>
          <w:b/>
          <w:bCs/>
          <w:color w:val="000000" w:themeColor="text1"/>
          <w:spacing w:val="10"/>
          <w:szCs w:val="22"/>
        </w:rPr>
        <w:t>O</w:t>
      </w:r>
    </w:p>
    <w:p w14:paraId="7842ACD7" w14:textId="77777777" w:rsidR="00D85C62" w:rsidRPr="00AB4BAE" w:rsidRDefault="00D85C62" w:rsidP="00D85C62">
      <w:pPr>
        <w:rPr>
          <w:sz w:val="28"/>
          <w:szCs w:val="28"/>
        </w:rPr>
      </w:pPr>
      <w:r w:rsidRPr="00AB4BAE">
        <w:rPr>
          <w:sz w:val="28"/>
          <w:szCs w:val="28"/>
        </w:rPr>
        <w:t> </w:t>
      </w:r>
    </w:p>
    <w:p w14:paraId="30EDA5D9" w14:textId="078C17EA" w:rsidR="00D85C62" w:rsidRPr="001225E9" w:rsidRDefault="00D85C62" w:rsidP="00752313">
      <w:pPr>
        <w:pStyle w:val="Paragrafoelenco"/>
        <w:numPr>
          <w:ilvl w:val="0"/>
          <w:numId w:val="24"/>
        </w:numPr>
        <w:jc w:val="both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Negli ultimi 3 anni </w:t>
      </w:r>
      <w:r w:rsidR="00284079" w:rsidRPr="008E4F96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è </w:t>
      </w:r>
      <w:r w:rsidRPr="008E4F96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cresc</w:t>
      </w:r>
      <w:r w:rsidR="00284079" w:rsidRPr="008E4F96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iuto</w:t>
      </w:r>
      <w:r w:rsidRPr="008E4F96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 </w:t>
      </w: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del </w:t>
      </w:r>
      <w:r w:rsidR="00743E5B"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22</w:t>
      </w: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% il numero degli accreditamenti rilasciati. </w:t>
      </w:r>
    </w:p>
    <w:p w14:paraId="2800457C" w14:textId="77777777" w:rsidR="00D85C62" w:rsidRPr="001225E9" w:rsidRDefault="00D85C62" w:rsidP="00752313">
      <w:pPr>
        <w:pStyle w:val="Paragrafoelenco"/>
        <w:jc w:val="both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</w:p>
    <w:p w14:paraId="2D765CBF" w14:textId="53713D7E" w:rsidR="00D85C62" w:rsidRPr="001225E9" w:rsidRDefault="00D85C62" w:rsidP="00752313">
      <w:pPr>
        <w:pStyle w:val="Paragrafoelenco"/>
        <w:numPr>
          <w:ilvl w:val="0"/>
          <w:numId w:val="24"/>
        </w:numPr>
        <w:jc w:val="both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Significativo il ruolo dei meccanismi di incentivazione e premialità previsti dal PNRR, come dimostrano già </w:t>
      </w:r>
      <w:r w:rsidR="00AE22ED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i 32 organismi di certificazione accreditati e </w:t>
      </w: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gli </w:t>
      </w:r>
      <w:r w:rsidR="00743E5B"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823</w:t>
      </w: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 siti aziendali certificati per la parità di genere</w:t>
      </w:r>
      <w:r w:rsidR="008E4F96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.</w:t>
      </w: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  </w:t>
      </w:r>
    </w:p>
    <w:p w14:paraId="30D0D5CB" w14:textId="77777777" w:rsidR="00D85C62" w:rsidRPr="001225E9" w:rsidRDefault="00D85C62" w:rsidP="00752313">
      <w:pPr>
        <w:ind w:firstLine="60"/>
        <w:jc w:val="both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</w:p>
    <w:p w14:paraId="596E5BA3" w14:textId="3D1BAFAB" w:rsidR="001B3E52" w:rsidRPr="001225E9" w:rsidRDefault="00D85C62" w:rsidP="00A051FF">
      <w:pPr>
        <w:pStyle w:val="Paragrafoelenco"/>
        <w:numPr>
          <w:ilvl w:val="0"/>
          <w:numId w:val="24"/>
        </w:numPr>
        <w:jc w:val="both"/>
        <w:rPr>
          <w:rFonts w:ascii="Verdana" w:hAnsi="Verdana" w:cs="Arial"/>
          <w:b/>
          <w:bCs/>
          <w:i/>
          <w:iCs/>
          <w:strike/>
          <w:color w:val="000000" w:themeColor="text1"/>
          <w:spacing w:val="10"/>
          <w:sz w:val="20"/>
          <w:szCs w:val="22"/>
        </w:rPr>
      </w:pP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Nel 2022, in crescita </w:t>
      </w:r>
      <w:r w:rsidR="001B3E52"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le attività di accreditamento e certificazione </w:t>
      </w: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in </w:t>
      </w:r>
      <w:r w:rsidRPr="001225E9">
        <w:rPr>
          <w:rFonts w:ascii="Verdana" w:hAnsi="Verdana" w:cs="Arial"/>
          <w:b/>
          <w:bCs/>
          <w:i/>
          <w:iCs/>
          <w:spacing w:val="10"/>
          <w:sz w:val="20"/>
          <w:szCs w:val="22"/>
        </w:rPr>
        <w:t xml:space="preserve">diversi settori </w:t>
      </w:r>
      <w:r w:rsidR="001225E9" w:rsidRPr="001225E9">
        <w:rPr>
          <w:rFonts w:ascii="Verdana" w:hAnsi="Verdana" w:cs="Arial"/>
          <w:b/>
          <w:bCs/>
          <w:i/>
          <w:iCs/>
          <w:spacing w:val="10"/>
          <w:sz w:val="20"/>
          <w:szCs w:val="22"/>
        </w:rPr>
        <w:t>chiave</w:t>
      </w:r>
      <w:r w:rsidRPr="001225E9">
        <w:rPr>
          <w:rFonts w:ascii="Verdana" w:hAnsi="Verdana" w:cs="Arial"/>
          <w:b/>
          <w:bCs/>
          <w:i/>
          <w:iCs/>
          <w:color w:val="FF0000"/>
          <w:spacing w:val="10"/>
          <w:sz w:val="20"/>
          <w:szCs w:val="22"/>
        </w:rPr>
        <w:t xml:space="preserve"> </w:t>
      </w:r>
      <w:r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delle politiche governative:</w:t>
      </w:r>
      <w:r w:rsidR="002633ED" w:rsidRPr="001225E9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 </w:t>
      </w:r>
    </w:p>
    <w:p w14:paraId="5FCE2FB3" w14:textId="77777777" w:rsidR="0024504A" w:rsidRDefault="0024504A" w:rsidP="001E02A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</w:p>
    <w:p w14:paraId="465A88DE" w14:textId="1A418D15" w:rsidR="0024504A" w:rsidRDefault="001B3E52" w:rsidP="001E02A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FC1548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>C</w:t>
      </w:r>
      <w:r w:rsidR="00D85C62" w:rsidRPr="00FC1548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>ybersecurity</w:t>
      </w: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: </w:t>
      </w:r>
    </w:p>
    <w:p w14:paraId="51E2E3FB" w14:textId="2ADEF49A" w:rsidR="001B3E52" w:rsidRDefault="001B3E52" w:rsidP="001E02A8">
      <w:pPr>
        <w:pStyle w:val="Paragrafoelenco"/>
        <w:numPr>
          <w:ilvl w:val="1"/>
          <w:numId w:val="24"/>
        </w:numP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+32% sistemi di gestione per la </w:t>
      </w:r>
      <w:r w:rsidRPr="0092340A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sicurezza delle informazioni</w:t>
      </w:r>
    </w:p>
    <w:p w14:paraId="33B64A86" w14:textId="77777777" w:rsidR="00FC1548" w:rsidRDefault="00FC1548" w:rsidP="00FC154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</w:pPr>
    </w:p>
    <w:p w14:paraId="047850FA" w14:textId="71D28146" w:rsidR="00FC1548" w:rsidRDefault="00FC1548" w:rsidP="00FC154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FC1548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>Salute</w:t>
      </w: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: </w:t>
      </w:r>
    </w:p>
    <w:p w14:paraId="16C72B3D" w14:textId="7D867932" w:rsidR="00FC1548" w:rsidRDefault="00FC1548" w:rsidP="00FC1548">
      <w:pPr>
        <w:pStyle w:val="Paragrafoelenco"/>
        <w:numPr>
          <w:ilvl w:val="1"/>
          <w:numId w:val="24"/>
        </w:numP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1B3E52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+44%</w:t>
      </w: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 </w:t>
      </w:r>
      <w:r w:rsidRPr="001B3E52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gli accreditamenti dei </w:t>
      </w:r>
      <w:r w:rsidR="000C549B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l</w:t>
      </w:r>
      <w:r w:rsidRPr="001B3E52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aboratori di analisi mediche</w:t>
      </w: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; accreditata</w:t>
      </w:r>
      <w:r w:rsidRPr="001B3E52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 la prima biobanca</w:t>
      </w:r>
    </w:p>
    <w:p w14:paraId="61C915E2" w14:textId="77777777" w:rsidR="0024504A" w:rsidRDefault="0024504A" w:rsidP="001E02A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</w:p>
    <w:p w14:paraId="7F95BCD4" w14:textId="255A4F11" w:rsidR="0024504A" w:rsidRDefault="001B3E52" w:rsidP="001E02A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FC1548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>S</w:t>
      </w:r>
      <w:r w:rsidR="00D85C62" w:rsidRPr="00FC1548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>ostenibilità</w:t>
      </w:r>
      <w:r w:rsidR="007C556E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 xml:space="preserve"> e greenwashing</w:t>
      </w: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:</w:t>
      </w:r>
      <w:r w:rsidR="00D85C62" w:rsidRPr="001B3E52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 </w:t>
      </w:r>
    </w:p>
    <w:p w14:paraId="191F03AF" w14:textId="1D0A5F5D" w:rsidR="0024504A" w:rsidRDefault="0024504A" w:rsidP="001E02A8">
      <w:pPr>
        <w:pStyle w:val="Paragrafoelenco"/>
        <w:numPr>
          <w:ilvl w:val="1"/>
          <w:numId w:val="24"/>
        </w:numP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+8% sistemi di gestione ambientale</w:t>
      </w:r>
    </w:p>
    <w:p w14:paraId="1359C9B1" w14:textId="77777777" w:rsidR="0024504A" w:rsidRDefault="0024504A" w:rsidP="001E02A8">
      <w:pPr>
        <w:pStyle w:val="Paragrafoelenco"/>
        <w:numPr>
          <w:ilvl w:val="1"/>
          <w:numId w:val="24"/>
        </w:numP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a</w:t>
      </w:r>
      <w:r w:rsidR="00D85C62" w:rsidRPr="001B3E52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vviata l’attività per accreditare gli organismi di verifica e validazione per le asserzioni etiche</w:t>
      </w:r>
    </w:p>
    <w:p w14:paraId="3D0646FE" w14:textId="77777777" w:rsidR="0024504A" w:rsidRDefault="0024504A" w:rsidP="001E02A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</w:p>
    <w:p w14:paraId="0B7D9688" w14:textId="36732EC0" w:rsidR="0024504A" w:rsidRDefault="001E02A8" w:rsidP="001E02A8">
      <w:pPr>
        <w:pStyle w:val="Paragrafoelenco"/>
        <w:ind w:left="1068"/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FC1548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>P</w:t>
      </w:r>
      <w:r w:rsidR="00D85C62" w:rsidRPr="00FC1548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  <w:u w:val="single"/>
        </w:rPr>
        <w:t>rofessionisti</w:t>
      </w:r>
      <w:r w:rsidR="0024504A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:</w:t>
      </w:r>
    </w:p>
    <w:p w14:paraId="626B2F31" w14:textId="179B37E1" w:rsidR="00706C7E" w:rsidRPr="0024504A" w:rsidRDefault="00D85C62" w:rsidP="001E02A8">
      <w:pPr>
        <w:pStyle w:val="Paragrafoelenco"/>
        <w:numPr>
          <w:ilvl w:val="1"/>
          <w:numId w:val="24"/>
        </w:numPr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</w:pPr>
      <w:r w:rsidRPr="0024504A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+</w:t>
      </w:r>
      <w:r w:rsidR="0024504A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14</w:t>
      </w:r>
      <w:r w:rsidRPr="0024504A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% </w:t>
      </w:r>
      <w:r w:rsidR="0024504A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gli accreditamenti degli </w:t>
      </w:r>
      <w:r w:rsidR="000C549B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o</w:t>
      </w:r>
      <w:r w:rsidR="0024504A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 xml:space="preserve">rganismi di certificazione delle </w:t>
      </w:r>
      <w:r w:rsidR="007C556E">
        <w:rPr>
          <w:rFonts w:ascii="Verdana" w:hAnsi="Verdana" w:cs="Arial"/>
          <w:b/>
          <w:bCs/>
          <w:i/>
          <w:iCs/>
          <w:color w:val="000000" w:themeColor="text1"/>
          <w:spacing w:val="10"/>
          <w:sz w:val="20"/>
          <w:szCs w:val="22"/>
        </w:rPr>
        <w:t>competenze delle figure professionali</w:t>
      </w:r>
    </w:p>
    <w:p w14:paraId="67A0184E" w14:textId="77777777" w:rsidR="008A5CCF" w:rsidRDefault="008A5CCF" w:rsidP="00706C7E">
      <w:pPr>
        <w:spacing w:line="276" w:lineRule="auto"/>
        <w:jc w:val="both"/>
        <w:rPr>
          <w:rFonts w:ascii="Verdana" w:hAnsi="Verdana" w:cs="Arial"/>
          <w:noProof/>
          <w:spacing w:val="10"/>
          <w:sz w:val="18"/>
          <w:szCs w:val="18"/>
        </w:rPr>
      </w:pPr>
    </w:p>
    <w:p w14:paraId="59DCAB53" w14:textId="77777777" w:rsidR="00AE22ED" w:rsidRDefault="00AE22ED" w:rsidP="00706C7E">
      <w:pPr>
        <w:spacing w:line="276" w:lineRule="auto"/>
        <w:jc w:val="both"/>
        <w:rPr>
          <w:rFonts w:ascii="Verdana" w:hAnsi="Verdana" w:cs="Arial"/>
          <w:noProof/>
          <w:spacing w:val="10"/>
          <w:sz w:val="18"/>
          <w:szCs w:val="18"/>
        </w:rPr>
      </w:pPr>
    </w:p>
    <w:p w14:paraId="477BDD25" w14:textId="3588A23D" w:rsidR="005277D8" w:rsidRDefault="00D85C6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 w:cs="Arial"/>
          <w:i/>
          <w:iCs/>
          <w:noProof/>
          <w:color w:val="000000" w:themeColor="text1"/>
          <w:spacing w:val="10"/>
          <w:sz w:val="18"/>
          <w:szCs w:val="18"/>
        </w:rPr>
        <w:t>Roma, 10 maggio 2023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- La certificazione rilasciata sotto accreditamento diventa sempre più la risposta alle esigenze della Pubblica Amministrazione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e delle Imprese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. Questo è quanto emerge dai dati di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Accredia, l’Ente unico nazionale di accreditamento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, </w:t>
      </w:r>
      <w:r w:rsidR="007F1E4E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illustrati 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dal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Presidente Massimo De Felice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in occasione dell’Assemblea annuale dei soci in cui sono intervenuti anche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Massimo Bitonci, Sottosegretario </w:t>
      </w:r>
      <w:r w:rsidRPr="00721E77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al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Ministero delle Imprese</w:t>
      </w:r>
      <w:r w:rsidR="00721E77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e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del Made in Italy</w:t>
      </w:r>
      <w:r w:rsidR="001D558D" w:rsidRPr="00721E77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, 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575955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Giuseppe</w:t>
      </w:r>
      <w:r w:rsidR="001D558D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Tripoli, Segretario Generale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di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Unioncamere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.</w:t>
      </w:r>
    </w:p>
    <w:p w14:paraId="229241CB" w14:textId="77777777" w:rsidR="005277D8" w:rsidRDefault="005277D8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</w:p>
    <w:p w14:paraId="6B302AA4" w14:textId="38F4A9E7" w:rsidR="006A45F9" w:rsidRPr="005277D8" w:rsidRDefault="00D85C6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Sin dalla sua costituzione nel 2009, infatti, Accredia ha visto aumentare le proprie attività di anno in anno. Solo nel triennio 20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20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-2022 il numero degli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accreditamenti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rilasciati è salito del </w:t>
      </w:r>
      <w:r w:rsidR="0092340A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22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%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. Il ruolo centrale dell’accreditamento, come strumento </w:t>
      </w:r>
      <w:r w:rsidR="00FC1548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di tutela per i 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consumatori e</w:t>
      </w:r>
      <w:r w:rsidR="00FC1548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6B495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di</w:t>
      </w:r>
      <w:r w:rsidR="00FC1548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competitività </w:t>
      </w:r>
      <w:r w:rsidR="006B495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per </w:t>
      </w:r>
      <w:r w:rsidR="00FC1548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le imprese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, è dimostrato anche dalla stretta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collaborazione dell’Ente con la Pubblica Amministrazione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, che recependo le 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normative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europee nei vari ambiti, affida sempre più 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spesso 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ad Accredia la verifica </w:t>
      </w:r>
      <w:r w:rsidR="006B495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della competenza 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degli organismi </w:t>
      </w:r>
      <w:r w:rsidR="00A051FF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e dei laborator</w:t>
      </w:r>
      <w:r w:rsidR="007F1E4E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i. </w:t>
      </w:r>
      <w:r w:rsidR="001F3B23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Questo </w:t>
      </w:r>
      <w:r w:rsidR="001F3B23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lastRenderedPageBreak/>
        <w:t xml:space="preserve">avviene grazie alle molteplici Convenzioni che le </w:t>
      </w:r>
      <w:r w:rsidR="001F3B23" w:rsidRPr="005277D8">
        <w:rPr>
          <w:rFonts w:ascii="Verdana" w:hAnsi="Verdana" w:cs="Arial"/>
          <w:b/>
          <w:noProof/>
          <w:color w:val="000000" w:themeColor="text1"/>
          <w:spacing w:val="10"/>
          <w:sz w:val="18"/>
          <w:szCs w:val="18"/>
        </w:rPr>
        <w:t>Autorità di Vigilanza, come ACN (</w:t>
      </w:r>
      <w:r w:rsidR="0088518B">
        <w:rPr>
          <w:rFonts w:ascii="Verdana" w:hAnsi="Verdana" w:cs="Arial"/>
          <w:b/>
          <w:noProof/>
          <w:color w:val="000000" w:themeColor="text1"/>
          <w:spacing w:val="10"/>
          <w:sz w:val="18"/>
          <w:szCs w:val="18"/>
        </w:rPr>
        <w:t>Agenzia</w:t>
      </w:r>
      <w:r w:rsidR="001F3B23" w:rsidRPr="005277D8">
        <w:rPr>
          <w:rFonts w:ascii="Verdana" w:hAnsi="Verdana" w:cs="Arial"/>
          <w:b/>
          <w:noProof/>
          <w:color w:val="000000" w:themeColor="text1"/>
          <w:spacing w:val="10"/>
          <w:sz w:val="18"/>
          <w:szCs w:val="18"/>
        </w:rPr>
        <w:t xml:space="preserve"> Nazionale per la Cybersecurity), ANSFISA, </w:t>
      </w:r>
      <w:r w:rsidR="00AE22ED" w:rsidRPr="005277D8">
        <w:rPr>
          <w:rFonts w:ascii="Verdana" w:hAnsi="Verdana" w:cs="Arial"/>
          <w:b/>
          <w:noProof/>
          <w:color w:val="000000" w:themeColor="text1"/>
          <w:spacing w:val="10"/>
          <w:sz w:val="18"/>
          <w:szCs w:val="18"/>
        </w:rPr>
        <w:t xml:space="preserve">ENAC e </w:t>
      </w:r>
      <w:r w:rsidR="001F3B23" w:rsidRPr="005277D8">
        <w:rPr>
          <w:rFonts w:ascii="Verdana" w:hAnsi="Verdana" w:cs="Arial"/>
          <w:b/>
          <w:noProof/>
          <w:color w:val="000000" w:themeColor="text1"/>
          <w:spacing w:val="10"/>
          <w:sz w:val="18"/>
          <w:szCs w:val="18"/>
        </w:rPr>
        <w:t>Garante per la Privacy</w:t>
      </w:r>
      <w:r w:rsidR="001F3B23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, hanno stipulato con Accredia</w:t>
      </w:r>
      <w:r w:rsidR="006A45F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per una migliore sorveglianza del mercato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.</w:t>
      </w:r>
      <w:r w:rsid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592AFE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Nel corso del 2022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, in particolare,</w:t>
      </w:r>
      <w:r w:rsidR="00592AFE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è stata significativa la formalizzazione della</w:t>
      </w:r>
      <w:r w:rsidR="00592AFE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collaborazione </w:t>
      </w:r>
      <w:r w:rsidR="006A45F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tra Accredia e Agenzia Nazionale per la Cybersicurezza per il monitoraggio e la vigilanza degli organismi di certificazione e dei laboratori di prova che operano per garantire la sicurezza dei sistemi informatici.</w:t>
      </w:r>
    </w:p>
    <w:p w14:paraId="4EB63EB4" w14:textId="77777777" w:rsidR="006A45F9" w:rsidRPr="005277D8" w:rsidRDefault="006A45F9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</w:p>
    <w:p w14:paraId="5D335F4B" w14:textId="49E7E1BF" w:rsidR="005277D8" w:rsidRDefault="006A45F9" w:rsidP="005277D8">
      <w:pPr>
        <w:suppressAutoHyphens/>
        <w:spacing w:line="276" w:lineRule="auto"/>
        <w:jc w:val="both"/>
        <w:rPr>
          <w:rFonts w:ascii="Verdana" w:hAnsi="Verdana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Anche le imprese 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e i professionisti 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ricorrono sempre più alla certificazione accreditata come dimostra la </w:t>
      </w:r>
      <w:r w:rsidR="00D85C62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certificazione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D85C62" w:rsidRPr="005277D8">
        <w:rPr>
          <w:rFonts w:ascii="Verdana" w:hAnsi="Verdana"/>
          <w:spacing w:val="10"/>
          <w:sz w:val="18"/>
          <w:szCs w:val="18"/>
        </w:rPr>
        <w:t xml:space="preserve">sotto accreditamento per la parità di genere: in un solo anno dalla </w:t>
      </w:r>
      <w:r w:rsidR="006B4952" w:rsidRPr="005277D8">
        <w:rPr>
          <w:rFonts w:ascii="Verdana" w:hAnsi="Verdana"/>
          <w:spacing w:val="10"/>
          <w:sz w:val="18"/>
          <w:szCs w:val="18"/>
        </w:rPr>
        <w:t>pubblicazione</w:t>
      </w:r>
      <w:r w:rsidR="00D85C62" w:rsidRPr="005277D8">
        <w:rPr>
          <w:rFonts w:ascii="Verdana" w:hAnsi="Verdana"/>
          <w:spacing w:val="10"/>
          <w:sz w:val="18"/>
          <w:szCs w:val="18"/>
        </w:rPr>
        <w:t xml:space="preserve"> del </w:t>
      </w:r>
      <w:hyperlink r:id="rId11" w:tgtFrame="_blank" w:history="1">
        <w:r w:rsidR="00D85C62" w:rsidRPr="005277D8">
          <w:rPr>
            <w:rFonts w:ascii="Verdana" w:hAnsi="Verdana"/>
            <w:spacing w:val="10"/>
            <w:sz w:val="18"/>
            <w:szCs w:val="18"/>
          </w:rPr>
          <w:t xml:space="preserve">decreto </w:t>
        </w:r>
        <w:r w:rsidRPr="005277D8">
          <w:rPr>
            <w:rFonts w:ascii="Verdana" w:hAnsi="Verdana"/>
            <w:spacing w:val="10"/>
            <w:sz w:val="18"/>
            <w:szCs w:val="18"/>
          </w:rPr>
          <w:t>29 aprile</w:t>
        </w:r>
        <w:r w:rsidR="00D85C62" w:rsidRPr="005277D8">
          <w:rPr>
            <w:rFonts w:ascii="Verdana" w:hAnsi="Verdana"/>
            <w:spacing w:val="10"/>
            <w:sz w:val="18"/>
            <w:szCs w:val="18"/>
          </w:rPr>
          <w:t xml:space="preserve"> 2022</w:t>
        </w:r>
      </w:hyperlink>
      <w:r w:rsidR="00D85C62" w:rsidRPr="005277D8">
        <w:rPr>
          <w:rFonts w:ascii="Verdana" w:hAnsi="Verdana"/>
          <w:spacing w:val="10"/>
          <w:sz w:val="18"/>
          <w:szCs w:val="18"/>
        </w:rPr>
        <w:t>,</w:t>
      </w:r>
      <w:r w:rsidR="00721E77">
        <w:rPr>
          <w:rFonts w:ascii="Verdana" w:hAnsi="Verdana"/>
          <w:spacing w:val="10"/>
          <w:sz w:val="18"/>
          <w:szCs w:val="18"/>
        </w:rPr>
        <w:t xml:space="preserve"> </w:t>
      </w:r>
      <w:r w:rsidR="00D85C62" w:rsidRPr="005277D8">
        <w:rPr>
          <w:rFonts w:ascii="Verdana" w:hAnsi="Verdana"/>
          <w:spacing w:val="10"/>
          <w:sz w:val="18"/>
          <w:szCs w:val="18"/>
        </w:rPr>
        <w:t xml:space="preserve">sono stati già </w:t>
      </w:r>
      <w:r w:rsidR="00AE22ED" w:rsidRPr="005277D8">
        <w:rPr>
          <w:rFonts w:ascii="Verdana" w:hAnsi="Verdana"/>
          <w:spacing w:val="10"/>
          <w:sz w:val="18"/>
          <w:szCs w:val="18"/>
        </w:rPr>
        <w:t xml:space="preserve">accreditati 32 organismi </w:t>
      </w:r>
      <w:r w:rsidR="00284079" w:rsidRPr="005277D8">
        <w:rPr>
          <w:rFonts w:ascii="Verdana" w:hAnsi="Verdana"/>
          <w:color w:val="000000" w:themeColor="text1"/>
          <w:spacing w:val="10"/>
          <w:sz w:val="18"/>
          <w:szCs w:val="18"/>
        </w:rPr>
        <w:t>ch</w:t>
      </w:r>
      <w:r w:rsidR="00AE22ED" w:rsidRPr="005277D8">
        <w:rPr>
          <w:rFonts w:ascii="Verdana" w:hAnsi="Verdana"/>
          <w:color w:val="000000" w:themeColor="text1"/>
          <w:spacing w:val="10"/>
          <w:sz w:val="18"/>
          <w:szCs w:val="18"/>
        </w:rPr>
        <w:t xml:space="preserve">e </w:t>
      </w:r>
      <w:r w:rsidR="00284079" w:rsidRPr="005277D8">
        <w:rPr>
          <w:rFonts w:ascii="Verdana" w:hAnsi="Verdana"/>
          <w:color w:val="000000" w:themeColor="text1"/>
          <w:spacing w:val="10"/>
          <w:sz w:val="18"/>
          <w:szCs w:val="18"/>
        </w:rPr>
        <w:t xml:space="preserve">hanno </w:t>
      </w:r>
      <w:r w:rsidR="00AE22ED" w:rsidRPr="005277D8">
        <w:rPr>
          <w:rFonts w:ascii="Verdana" w:hAnsi="Verdana"/>
          <w:color w:val="000000" w:themeColor="text1"/>
          <w:spacing w:val="10"/>
          <w:sz w:val="18"/>
          <w:szCs w:val="18"/>
        </w:rPr>
        <w:t>certificat</w:t>
      </w:r>
      <w:r w:rsidR="00284079" w:rsidRPr="005277D8">
        <w:rPr>
          <w:rFonts w:ascii="Verdana" w:hAnsi="Verdana"/>
          <w:color w:val="000000" w:themeColor="text1"/>
          <w:spacing w:val="10"/>
          <w:sz w:val="18"/>
          <w:szCs w:val="18"/>
        </w:rPr>
        <w:t>o</w:t>
      </w:r>
      <w:r w:rsidR="00AE22ED" w:rsidRPr="005277D8">
        <w:rPr>
          <w:rFonts w:ascii="Verdana" w:hAnsi="Verdana"/>
          <w:color w:val="000000" w:themeColor="text1"/>
          <w:spacing w:val="10"/>
          <w:sz w:val="18"/>
          <w:szCs w:val="18"/>
        </w:rPr>
        <w:t xml:space="preserve"> </w:t>
      </w:r>
      <w:r w:rsidR="0034526C" w:rsidRPr="005277D8">
        <w:rPr>
          <w:rFonts w:ascii="Verdana" w:hAnsi="Verdana"/>
          <w:spacing w:val="10"/>
          <w:sz w:val="18"/>
          <w:szCs w:val="18"/>
        </w:rPr>
        <w:t>823</w:t>
      </w:r>
      <w:r w:rsidR="00D85C62" w:rsidRPr="005277D8">
        <w:rPr>
          <w:rFonts w:ascii="Verdana" w:hAnsi="Verdana"/>
          <w:spacing w:val="10"/>
          <w:sz w:val="18"/>
          <w:szCs w:val="18"/>
        </w:rPr>
        <w:t xml:space="preserve"> siti produttivi </w:t>
      </w:r>
      <w:r w:rsidR="0034526C" w:rsidRPr="005277D8">
        <w:rPr>
          <w:rFonts w:ascii="Verdana" w:hAnsi="Verdana"/>
          <w:spacing w:val="10"/>
          <w:sz w:val="18"/>
          <w:szCs w:val="18"/>
        </w:rPr>
        <w:t>(dati a dicembre 2022)</w:t>
      </w:r>
      <w:r w:rsidR="00AE22ED" w:rsidRPr="005277D8">
        <w:rPr>
          <w:rFonts w:ascii="Verdana" w:hAnsi="Verdana"/>
          <w:spacing w:val="10"/>
          <w:sz w:val="18"/>
          <w:szCs w:val="18"/>
        </w:rPr>
        <w:t>.</w:t>
      </w:r>
      <w:r w:rsidR="00D85C62" w:rsidRPr="005277D8">
        <w:rPr>
          <w:rFonts w:ascii="Verdana" w:hAnsi="Verdana"/>
          <w:spacing w:val="10"/>
          <w:sz w:val="18"/>
          <w:szCs w:val="18"/>
        </w:rPr>
        <w:t xml:space="preserve"> Questo anche gr</w:t>
      </w:r>
      <w:r w:rsidRPr="005277D8">
        <w:rPr>
          <w:rFonts w:ascii="Verdana" w:hAnsi="Verdana"/>
          <w:spacing w:val="10"/>
          <w:sz w:val="18"/>
          <w:szCs w:val="18"/>
        </w:rPr>
        <w:t>azie agli incentivi previsti per l</w:t>
      </w:r>
      <w:r w:rsidR="00D85C62" w:rsidRPr="005277D8">
        <w:rPr>
          <w:rFonts w:ascii="Verdana" w:hAnsi="Verdana"/>
          <w:spacing w:val="10"/>
          <w:sz w:val="18"/>
          <w:szCs w:val="18"/>
        </w:rPr>
        <w:t xml:space="preserve">e imprese che intendono adottare policy adeguate a ridurre il divario di genere, </w:t>
      </w:r>
      <w:r w:rsidR="006B4952" w:rsidRPr="005277D8">
        <w:rPr>
          <w:rFonts w:ascii="Verdana" w:hAnsi="Verdana"/>
          <w:spacing w:val="10"/>
          <w:sz w:val="18"/>
          <w:szCs w:val="18"/>
        </w:rPr>
        <w:t>contribuendo a raggiungere uno degli obiettivi trasversali del PNRR</w:t>
      </w:r>
      <w:r w:rsidR="00D85C62" w:rsidRPr="005277D8">
        <w:rPr>
          <w:rFonts w:ascii="Verdana" w:hAnsi="Verdana"/>
          <w:spacing w:val="10"/>
          <w:sz w:val="18"/>
          <w:szCs w:val="18"/>
        </w:rPr>
        <w:t>.</w:t>
      </w:r>
    </w:p>
    <w:p w14:paraId="03F4D5AC" w14:textId="77777777" w:rsidR="005277D8" w:rsidRDefault="005277D8" w:rsidP="005277D8">
      <w:pPr>
        <w:suppressAutoHyphens/>
        <w:spacing w:line="276" w:lineRule="auto"/>
        <w:jc w:val="both"/>
        <w:rPr>
          <w:rFonts w:ascii="Verdana" w:hAnsi="Verdana"/>
          <w:spacing w:val="10"/>
          <w:sz w:val="18"/>
          <w:szCs w:val="18"/>
        </w:rPr>
      </w:pPr>
    </w:p>
    <w:p w14:paraId="45986498" w14:textId="104D2EEF" w:rsidR="00C76756" w:rsidRPr="005277D8" w:rsidRDefault="00284079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A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ltri settori cruciali hanno visto un incremento significativo negli ultimi anni. Nel 2022 è stato compiuto un importante passo avanti in ambito</w:t>
      </w:r>
      <w:r w:rsidR="00721E77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D85C62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cybersecurity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, con un incremento delle certificazioni dei sistemi di gestione per la sicurezza delle informazioni e per i servizi informatici, rispettivamente del </w:t>
      </w:r>
      <w:r w:rsidR="00D85C62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32</w:t>
      </w:r>
      <w:r w:rsidR="0034526C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%</w:t>
      </w:r>
      <w:r w:rsidR="00D85C62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e del 14%</w:t>
      </w:r>
      <w:r w:rsidR="00C76756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ed un totale di siti certificati pari ad oltre 4.500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.</w:t>
      </w:r>
    </w:p>
    <w:p w14:paraId="58C6353E" w14:textId="7ECF60E7" w:rsidR="006B4952" w:rsidRPr="005277D8" w:rsidRDefault="00D85C62" w:rsidP="005277D8">
      <w:pPr>
        <w:pStyle w:val="xaccredia-testo"/>
        <w:suppressAutoHyphens/>
        <w:spacing w:after="160" w:afterAutospacing="0" w:line="276" w:lineRule="auto"/>
        <w:jc w:val="both"/>
        <w:textAlignment w:val="baseline"/>
        <w:rPr>
          <w:rFonts w:ascii="Verdana" w:hAnsi="Verdana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“</w:t>
      </w:r>
      <w:r w:rsidRPr="005277D8">
        <w:rPr>
          <w:rFonts w:ascii="Verdana" w:hAnsi="Verdana"/>
          <w:spacing w:val="10"/>
          <w:sz w:val="18"/>
          <w:szCs w:val="18"/>
        </w:rPr>
        <w:t>A livello normativo – dichiara Massimo De Felice, Pres</w:t>
      </w:r>
      <w:r w:rsidR="006B4952" w:rsidRPr="005277D8">
        <w:rPr>
          <w:rFonts w:ascii="Verdana" w:hAnsi="Verdana"/>
          <w:spacing w:val="10"/>
          <w:sz w:val="18"/>
          <w:szCs w:val="18"/>
        </w:rPr>
        <w:t>i</w:t>
      </w:r>
      <w:r w:rsidRPr="005277D8">
        <w:rPr>
          <w:rFonts w:ascii="Verdana" w:hAnsi="Verdana"/>
          <w:spacing w:val="10"/>
          <w:sz w:val="18"/>
          <w:szCs w:val="18"/>
        </w:rPr>
        <w:t>dente di Accredia - il crescente richiamo all’ac</w:t>
      </w:r>
      <w:r w:rsidR="00A644E2" w:rsidRPr="005277D8">
        <w:rPr>
          <w:rFonts w:ascii="Verdana" w:hAnsi="Verdana"/>
          <w:spacing w:val="10"/>
          <w:sz w:val="18"/>
          <w:szCs w:val="18"/>
        </w:rPr>
        <w:t xml:space="preserve">creditamento in diversi ambiti </w:t>
      </w:r>
      <w:r w:rsidRPr="005277D8">
        <w:rPr>
          <w:rFonts w:ascii="Verdana" w:hAnsi="Verdana"/>
          <w:spacing w:val="10"/>
          <w:sz w:val="18"/>
          <w:szCs w:val="18"/>
        </w:rPr>
        <w:t xml:space="preserve">lascia intravedere nel futuro nuove e ulteriori attività per Accredia. </w:t>
      </w:r>
      <w:r w:rsidR="00EE3D77" w:rsidRPr="005277D8">
        <w:rPr>
          <w:rFonts w:ascii="Verdana" w:hAnsi="Verdana"/>
          <w:spacing w:val="10"/>
          <w:sz w:val="18"/>
          <w:szCs w:val="18"/>
        </w:rPr>
        <w:t xml:space="preserve">Siamo in </w:t>
      </w:r>
      <w:r w:rsidR="005277D8" w:rsidRPr="005277D8">
        <w:rPr>
          <w:rFonts w:ascii="Verdana" w:hAnsi="Verdana"/>
          <w:spacing w:val="10"/>
          <w:sz w:val="18"/>
          <w:szCs w:val="18"/>
        </w:rPr>
        <w:t>attesa, infatti,</w:t>
      </w:r>
      <w:r w:rsidR="00A644E2" w:rsidRPr="005277D8">
        <w:rPr>
          <w:rFonts w:ascii="Verdana" w:hAnsi="Verdana"/>
          <w:spacing w:val="10"/>
          <w:sz w:val="18"/>
          <w:szCs w:val="18"/>
        </w:rPr>
        <w:t xml:space="preserve"> </w:t>
      </w:r>
      <w:r w:rsidR="00EE3D77" w:rsidRPr="005277D8">
        <w:rPr>
          <w:rFonts w:ascii="Verdana" w:hAnsi="Verdana"/>
          <w:spacing w:val="10"/>
          <w:sz w:val="18"/>
          <w:szCs w:val="18"/>
        </w:rPr>
        <w:t>che sia approvato il Regolamento comunitario sull’Intelligenza Artificiale in cui verrà riconosciuto</w:t>
      </w:r>
      <w:r w:rsidR="00EE3D77" w:rsidRPr="005277D8">
        <w:rPr>
          <w:rFonts w:ascii="Verdana" w:hAnsi="Verdana"/>
          <w:color w:val="FF0000"/>
          <w:spacing w:val="10"/>
          <w:sz w:val="18"/>
          <w:szCs w:val="18"/>
        </w:rPr>
        <w:t xml:space="preserve"> </w:t>
      </w:r>
      <w:r w:rsidR="00EE3D77" w:rsidRPr="005277D8">
        <w:rPr>
          <w:rFonts w:ascii="Verdana" w:hAnsi="Verdana"/>
          <w:spacing w:val="10"/>
          <w:sz w:val="18"/>
          <w:szCs w:val="18"/>
        </w:rPr>
        <w:t>un ruolo al</w:t>
      </w:r>
      <w:r w:rsidR="00AE22ED" w:rsidRPr="005277D8">
        <w:rPr>
          <w:rFonts w:ascii="Verdana" w:hAnsi="Verdana"/>
          <w:spacing w:val="10"/>
          <w:sz w:val="18"/>
          <w:szCs w:val="18"/>
        </w:rPr>
        <w:t xml:space="preserve"> nostro sistema</w:t>
      </w:r>
      <w:r w:rsidR="00EE3D77" w:rsidRPr="005277D8">
        <w:rPr>
          <w:rFonts w:ascii="Verdana" w:hAnsi="Verdana"/>
          <w:spacing w:val="10"/>
          <w:sz w:val="18"/>
          <w:szCs w:val="18"/>
        </w:rPr>
        <w:t xml:space="preserve">. Anche in quest’ottica stiamo lavorando da tempo alla creazione </w:t>
      </w:r>
      <w:r w:rsidR="00CE13BF" w:rsidRPr="005277D8">
        <w:rPr>
          <w:rFonts w:ascii="Verdana" w:hAnsi="Verdana"/>
          <w:spacing w:val="10"/>
          <w:sz w:val="18"/>
          <w:szCs w:val="18"/>
        </w:rPr>
        <w:t xml:space="preserve">di una </w:t>
      </w:r>
      <w:r w:rsidR="00EE3D77" w:rsidRPr="005277D8">
        <w:rPr>
          <w:rFonts w:ascii="Verdana" w:hAnsi="Verdana"/>
          <w:color w:val="000000" w:themeColor="text1"/>
          <w:spacing w:val="10"/>
          <w:sz w:val="18"/>
          <w:szCs w:val="18"/>
        </w:rPr>
        <w:t>A</w:t>
      </w:r>
      <w:r w:rsidR="00CE13BF" w:rsidRPr="005277D8">
        <w:rPr>
          <w:rFonts w:ascii="Verdana" w:hAnsi="Verdana"/>
          <w:color w:val="000000" w:themeColor="text1"/>
          <w:spacing w:val="10"/>
          <w:sz w:val="18"/>
          <w:szCs w:val="18"/>
        </w:rPr>
        <w:t>c</w:t>
      </w:r>
      <w:r w:rsidR="00EE3D77" w:rsidRPr="005277D8">
        <w:rPr>
          <w:rFonts w:ascii="Verdana" w:hAnsi="Verdana"/>
          <w:color w:val="000000" w:themeColor="text1"/>
          <w:spacing w:val="10"/>
          <w:sz w:val="18"/>
          <w:szCs w:val="18"/>
        </w:rPr>
        <w:t>a</w:t>
      </w:r>
      <w:r w:rsidR="00EE3D77" w:rsidRPr="005277D8">
        <w:rPr>
          <w:rFonts w:ascii="Verdana" w:hAnsi="Verdana"/>
          <w:spacing w:val="10"/>
          <w:sz w:val="18"/>
          <w:szCs w:val="18"/>
        </w:rPr>
        <w:t xml:space="preserve">demy </w:t>
      </w:r>
      <w:r w:rsidR="00A644E2" w:rsidRPr="005277D8">
        <w:rPr>
          <w:rFonts w:ascii="Verdana" w:hAnsi="Verdana"/>
          <w:spacing w:val="10"/>
          <w:sz w:val="18"/>
          <w:szCs w:val="18"/>
        </w:rPr>
        <w:t xml:space="preserve">per diffondere la cultura dell’accreditamento e delle verifiche </w:t>
      </w:r>
      <w:r w:rsidR="00AE22ED" w:rsidRPr="005277D8">
        <w:rPr>
          <w:rFonts w:ascii="Verdana" w:hAnsi="Verdana"/>
          <w:spacing w:val="10"/>
          <w:sz w:val="18"/>
          <w:szCs w:val="18"/>
        </w:rPr>
        <w:t>competenti degli organismi e dei laboratori</w:t>
      </w:r>
      <w:r w:rsidR="00A644E2" w:rsidRPr="005277D8">
        <w:rPr>
          <w:rFonts w:ascii="Verdana" w:hAnsi="Verdana"/>
          <w:spacing w:val="10"/>
          <w:sz w:val="18"/>
          <w:szCs w:val="18"/>
        </w:rPr>
        <w:t xml:space="preserve">, </w:t>
      </w:r>
      <w:r w:rsidR="00AE22ED" w:rsidRPr="005277D8">
        <w:rPr>
          <w:rFonts w:ascii="Verdana" w:hAnsi="Verdana"/>
          <w:spacing w:val="10"/>
          <w:sz w:val="18"/>
          <w:szCs w:val="18"/>
        </w:rPr>
        <w:t xml:space="preserve">per </w:t>
      </w:r>
      <w:r w:rsidR="00A644E2" w:rsidRPr="005277D8">
        <w:rPr>
          <w:rFonts w:ascii="Verdana" w:hAnsi="Verdana"/>
          <w:spacing w:val="10"/>
          <w:sz w:val="18"/>
          <w:szCs w:val="18"/>
        </w:rPr>
        <w:t>qualificare l’azione delle imprese e delle Istituzioni</w:t>
      </w:r>
      <w:r w:rsidR="00AE22ED" w:rsidRPr="005277D8">
        <w:rPr>
          <w:rFonts w:ascii="Verdana" w:hAnsi="Verdana"/>
          <w:spacing w:val="10"/>
          <w:sz w:val="18"/>
          <w:szCs w:val="18"/>
        </w:rPr>
        <w:t xml:space="preserve"> e</w:t>
      </w:r>
      <w:r w:rsidR="00A644E2" w:rsidRPr="005277D8">
        <w:rPr>
          <w:rFonts w:ascii="Verdana" w:hAnsi="Verdana"/>
          <w:spacing w:val="10"/>
          <w:sz w:val="18"/>
          <w:szCs w:val="18"/>
        </w:rPr>
        <w:t xml:space="preserve"> contribuire a tutelare l’efficienza qualitativa dei mercati. I temi elaborati dall’</w:t>
      </w:r>
      <w:r w:rsidR="00284079" w:rsidRPr="005277D8">
        <w:rPr>
          <w:rFonts w:ascii="Verdana" w:hAnsi="Verdana"/>
          <w:color w:val="000000" w:themeColor="text1"/>
          <w:spacing w:val="10"/>
          <w:sz w:val="18"/>
          <w:szCs w:val="18"/>
        </w:rPr>
        <w:t>Aca</w:t>
      </w:r>
      <w:r w:rsidR="00A644E2" w:rsidRPr="005277D8">
        <w:rPr>
          <w:rFonts w:ascii="Verdana" w:hAnsi="Verdana"/>
          <w:spacing w:val="10"/>
          <w:sz w:val="18"/>
          <w:szCs w:val="18"/>
        </w:rPr>
        <w:t>demy saranno inoltre strumento di utilità per meglio calibrare l’azione di diffusione culturale</w:t>
      </w:r>
      <w:r w:rsidR="00AE22ED" w:rsidRPr="005277D8">
        <w:rPr>
          <w:rFonts w:ascii="Verdana" w:hAnsi="Verdana"/>
          <w:spacing w:val="10"/>
          <w:sz w:val="18"/>
          <w:szCs w:val="18"/>
        </w:rPr>
        <w:t xml:space="preserve">, </w:t>
      </w:r>
      <w:r w:rsidR="00A644E2" w:rsidRPr="005277D8">
        <w:rPr>
          <w:rFonts w:ascii="Verdana" w:hAnsi="Verdana"/>
          <w:spacing w:val="10"/>
          <w:sz w:val="18"/>
          <w:szCs w:val="18"/>
        </w:rPr>
        <w:t>tattica e strategica</w:t>
      </w:r>
      <w:r w:rsidR="00AE22ED" w:rsidRPr="005277D8">
        <w:rPr>
          <w:rFonts w:ascii="Verdana" w:hAnsi="Verdana"/>
          <w:spacing w:val="10"/>
          <w:sz w:val="18"/>
          <w:szCs w:val="18"/>
        </w:rPr>
        <w:t xml:space="preserve">, </w:t>
      </w:r>
      <w:r w:rsidR="00A644E2" w:rsidRPr="005277D8">
        <w:rPr>
          <w:rFonts w:ascii="Verdana" w:hAnsi="Verdana"/>
          <w:spacing w:val="10"/>
          <w:sz w:val="18"/>
          <w:szCs w:val="18"/>
        </w:rPr>
        <w:t>dell’accreditamento</w:t>
      </w:r>
      <w:r w:rsidR="00AE22ED" w:rsidRPr="005277D8">
        <w:rPr>
          <w:rFonts w:ascii="Verdana" w:hAnsi="Verdana"/>
          <w:spacing w:val="10"/>
          <w:sz w:val="18"/>
          <w:szCs w:val="18"/>
        </w:rPr>
        <w:t xml:space="preserve"> che </w:t>
      </w:r>
      <w:r w:rsidR="00284079" w:rsidRPr="005277D8">
        <w:rPr>
          <w:rFonts w:ascii="Verdana" w:hAnsi="Verdana"/>
          <w:color w:val="000000" w:themeColor="text1"/>
          <w:spacing w:val="10"/>
          <w:sz w:val="18"/>
          <w:szCs w:val="18"/>
        </w:rPr>
        <w:t>support</w:t>
      </w:r>
      <w:r w:rsidR="00AE22ED" w:rsidRPr="005277D8">
        <w:rPr>
          <w:rFonts w:ascii="Verdana" w:hAnsi="Verdana"/>
          <w:color w:val="000000" w:themeColor="text1"/>
          <w:spacing w:val="10"/>
          <w:sz w:val="18"/>
          <w:szCs w:val="18"/>
        </w:rPr>
        <w:t xml:space="preserve">iamo </w:t>
      </w:r>
      <w:r w:rsidR="00AE22ED" w:rsidRPr="005277D8">
        <w:rPr>
          <w:rFonts w:ascii="Verdana" w:hAnsi="Verdana"/>
          <w:spacing w:val="10"/>
          <w:sz w:val="18"/>
          <w:szCs w:val="18"/>
        </w:rPr>
        <w:t>periodicamente attraverso le ricerche del nostro Osservatorio</w:t>
      </w:r>
      <w:r w:rsidR="00A644E2" w:rsidRPr="005277D8">
        <w:rPr>
          <w:rFonts w:ascii="Verdana" w:hAnsi="Verdana"/>
          <w:spacing w:val="10"/>
          <w:sz w:val="18"/>
          <w:szCs w:val="18"/>
        </w:rPr>
        <w:t xml:space="preserve">”. </w:t>
      </w:r>
    </w:p>
    <w:p w14:paraId="56CE898A" w14:textId="7C557F4C" w:rsidR="006B4952" w:rsidRPr="005277D8" w:rsidRDefault="006B495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/>
          <w:spacing w:val="10"/>
          <w:sz w:val="18"/>
          <w:szCs w:val="18"/>
        </w:rPr>
        <w:t>La sostenibilità e le attività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per garantirla sono un 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altro 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tema r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il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e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v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ante per </w:t>
      </w:r>
      <w:r w:rsidR="00721E77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Accredia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. Nel 2022 si conferma la crescita delle certificazioni in campo ambientale (+8% sistemi di gestione ambientale), ma, al tempo stesso, si affacciano nuove forme di certificazione accreditata per contrastare il fenomeno del </w:t>
      </w:r>
      <w:r w:rsidRPr="005277D8">
        <w:rPr>
          <w:rFonts w:ascii="Verdana" w:hAnsi="Verdana" w:cs="Arial"/>
          <w:b/>
          <w:bCs/>
          <w:i/>
          <w:iCs/>
          <w:noProof/>
          <w:color w:val="000000" w:themeColor="text1"/>
          <w:spacing w:val="10"/>
          <w:sz w:val="18"/>
          <w:szCs w:val="18"/>
        </w:rPr>
        <w:t>greenwashing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. È stata avviata infatti l’attività per accreditare gli organismi di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verifica e validazione per</w:t>
      </w:r>
      <w:r w:rsidR="00721E77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le asserzioni etiche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di responsabilità, che definisce i requisiti per supportare la definizione, la verifica o lo sviluppo di affermazioni etiche credibili, accurate e non fuorvianti e che indica alle organizzazioni un percorso strutturato e condiviso nell’elaborazione e nella dichiarazione di asserzioni etiche sui temi della sostenibilità.</w:t>
      </w:r>
    </w:p>
    <w:p w14:paraId="043A7F85" w14:textId="77777777" w:rsidR="00D85C62" w:rsidRPr="005277D8" w:rsidRDefault="00D85C6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</w:p>
    <w:p w14:paraId="1A720FC2" w14:textId="1B3B4EAF" w:rsidR="006F1E1A" w:rsidRPr="005277D8" w:rsidRDefault="00D85C6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Anche i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professionisti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, </w:t>
      </w:r>
      <w:r w:rsidR="006F1E1A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ricorrono sempre più alla certificazione rilasciata da organismi accreditati, cresciuti del 14% nel corso del 2022.</w:t>
      </w:r>
    </w:p>
    <w:p w14:paraId="533AB342" w14:textId="62072616" w:rsidR="00D85C62" w:rsidRPr="005277D8" w:rsidRDefault="006F1E1A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Questo 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come garanzia preventiva e continua di qualità e competenze</w:t>
      </w:r>
      <w:r w:rsidR="00284079" w:rsidRPr="005277D8">
        <w:rPr>
          <w:rFonts w:ascii="Verdana" w:hAnsi="Verdana" w:cs="Arial"/>
          <w:noProof/>
          <w:color w:val="FF0000"/>
          <w:spacing w:val="10"/>
          <w:sz w:val="18"/>
          <w:szCs w:val="18"/>
        </w:rPr>
        <w:t xml:space="preserve"> 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nonché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riconoscimento</w:t>
      </w:r>
      <w:r w:rsidR="00721E77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di 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conformità a</w:t>
      </w:r>
      <w:r w:rsidR="00284079" w:rsidRPr="005277D8">
        <w:rPr>
          <w:rFonts w:ascii="Verdana" w:hAnsi="Verdana" w:cs="Arial"/>
          <w:noProof/>
          <w:color w:val="FF0000"/>
          <w:spacing w:val="10"/>
          <w:sz w:val="18"/>
          <w:szCs w:val="18"/>
        </w:rPr>
        <w:t xml:space="preserve"> 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standard nazionali e internazionali, per emergere in un mercato del lavoro sempre più competitivo. Una strada scelta da diverse figure professionali, quali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, tra gli altri, 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criminologi, wedding planner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e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ingegneri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.</w:t>
      </w:r>
    </w:p>
    <w:p w14:paraId="0DFBCFAF" w14:textId="546800E8" w:rsidR="00D85C62" w:rsidRPr="005277D8" w:rsidRDefault="00D85C6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</w:p>
    <w:p w14:paraId="105B24D9" w14:textId="7E9500D6" w:rsidR="00D85C62" w:rsidRPr="005277D8" w:rsidRDefault="00D85C6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Numer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i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in crescita infine anche per gli accreditamenti dei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laboratori </w:t>
      </w:r>
      <w:r w:rsidR="0034526C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di analisi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medic</w:t>
      </w:r>
      <w:r w:rsidR="0034526C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he</w:t>
      </w:r>
      <w:r w:rsidR="001225E9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,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aumentati del 44%</w:t>
      </w:r>
      <w:r w:rsidR="00284079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.</w:t>
      </w:r>
      <w:r w:rsidR="008E4F96" w:rsidRPr="005277D8">
        <w:rPr>
          <w:rFonts w:ascii="Verdana" w:hAnsi="Verdana" w:cs="Arial"/>
          <w:noProof/>
          <w:color w:val="FF0000"/>
          <w:spacing w:val="10"/>
          <w:sz w:val="18"/>
          <w:szCs w:val="18"/>
        </w:rPr>
        <w:t xml:space="preserve"> </w:t>
      </w:r>
      <w:r w:rsidR="0028407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Sono ora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23 </w:t>
      </w:r>
      <w:r w:rsidR="001225E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le di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 xml:space="preserve"> strutture sanitarie accreditate</w:t>
      </w:r>
      <w:r w:rsidR="001225E9"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,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molte delle quali legate al Sistema Sanitario Nazionale. </w:t>
      </w:r>
      <w:r w:rsidR="00AC6C6E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È 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stato </w:t>
      </w:r>
      <w:r w:rsidR="001225E9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inoltre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rilasciato il primo accreditamento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secondo la norma UNI EN ISO 20387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a una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Pr="005277D8">
        <w:rPr>
          <w:rFonts w:ascii="Verdana" w:hAnsi="Verdana" w:cs="Arial"/>
          <w:b/>
          <w:bCs/>
          <w:noProof/>
          <w:color w:val="000000" w:themeColor="text1"/>
          <w:spacing w:val="10"/>
          <w:sz w:val="18"/>
          <w:szCs w:val="18"/>
        </w:rPr>
        <w:t>biobanca</w:t>
      </w: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di ricerca e sviluppo nell’ambito della gestione di materiale biologico di origine umana.</w:t>
      </w:r>
    </w:p>
    <w:p w14:paraId="13A15C1F" w14:textId="77777777" w:rsidR="00D85C62" w:rsidRPr="005277D8" w:rsidRDefault="00D85C62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</w:p>
    <w:p w14:paraId="3E347A9F" w14:textId="6ED7A670" w:rsidR="008B7DB2" w:rsidRDefault="00752313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  <w:r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Infine, </w:t>
      </w:r>
      <w:r w:rsidR="00D85C6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Accredia continua a svolgere un ruolo di primo piano anche a livello internazionale</w:t>
      </w:r>
      <w:r w:rsidR="006B495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 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presiedendo con il Dott. Riva, Vice </w:t>
      </w:r>
      <w:r w:rsidR="00721E77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D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irettore </w:t>
      </w:r>
      <w:r w:rsidR="00721E77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G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enerale dell’Ente, IAF, la rete mondiale degli enti di accreditamento. </w:t>
      </w:r>
      <w:r w:rsidR="006B495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La competenza e imparzialità, a cui l’Ente tende in modo costante, è stata </w:t>
      </w:r>
      <w:r w:rsidR="008E4F96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infine </w:t>
      </w:r>
      <w:r w:rsidR="006B495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dimostrata una volta di più con il </w:t>
      </w:r>
      <w:r w:rsidR="00AE22ED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superamento della verifica da parte </w:t>
      </w:r>
      <w:r w:rsidR="006B4952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 xml:space="preserve">dell’ European co-operation for Accreditation (EA), la rete degli Enti di accreditamento europei, </w:t>
      </w:r>
      <w:r w:rsidR="00A051FF" w:rsidRPr="005277D8"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  <w:t>avvenuta a gennaio 2023.</w:t>
      </w:r>
    </w:p>
    <w:p w14:paraId="0DF8ACEF" w14:textId="77777777" w:rsidR="005277D8" w:rsidRDefault="005277D8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</w:p>
    <w:p w14:paraId="14266927" w14:textId="77777777" w:rsidR="005277D8" w:rsidRPr="005277D8" w:rsidRDefault="005277D8" w:rsidP="005277D8">
      <w:pPr>
        <w:suppressAutoHyphens/>
        <w:spacing w:line="276" w:lineRule="auto"/>
        <w:jc w:val="both"/>
        <w:rPr>
          <w:rFonts w:ascii="Verdana" w:hAnsi="Verdana" w:cs="Arial"/>
          <w:noProof/>
          <w:color w:val="000000" w:themeColor="text1"/>
          <w:spacing w:val="10"/>
          <w:sz w:val="18"/>
          <w:szCs w:val="18"/>
        </w:rPr>
      </w:pPr>
    </w:p>
    <w:p w14:paraId="2FBE4654" w14:textId="2154685D" w:rsidR="00AF62F5" w:rsidRPr="00AF62F5" w:rsidRDefault="00AF62F5" w:rsidP="00AF62F5">
      <w:pPr>
        <w:spacing w:line="276" w:lineRule="auto"/>
        <w:jc w:val="center"/>
        <w:rPr>
          <w:rFonts w:ascii="Verdana" w:hAnsi="Verdana" w:cs="Arial"/>
          <w:strike/>
          <w:noProof/>
          <w:color w:val="000000" w:themeColor="text1"/>
          <w:spacing w:val="10"/>
          <w:sz w:val="18"/>
          <w:szCs w:val="18"/>
        </w:rPr>
      </w:pPr>
      <w:r>
        <w:rPr>
          <w:rFonts w:ascii="Verdana" w:hAnsi="Verdana" w:cs="Arial"/>
          <w:strike/>
          <w:noProof/>
          <w:color w:val="000000" w:themeColor="text1"/>
          <w:spacing w:val="10"/>
          <w:sz w:val="18"/>
          <w:szCs w:val="18"/>
        </w:rPr>
        <w:t>***</w:t>
      </w:r>
    </w:p>
    <w:p w14:paraId="4837EA9C" w14:textId="359AFC3B" w:rsidR="00D06995" w:rsidRPr="00DE1EAF" w:rsidRDefault="00D06995">
      <w:pPr>
        <w:rPr>
          <w:rFonts w:ascii="Verdana" w:hAnsi="Verdana" w:cs="Arial"/>
          <w:noProof/>
          <w:spacing w:val="10"/>
          <w:sz w:val="18"/>
          <w:szCs w:val="18"/>
        </w:rPr>
      </w:pPr>
    </w:p>
    <w:p w14:paraId="33A2DDA2" w14:textId="6B38C5F7" w:rsidR="008B7DB2" w:rsidRDefault="008B7DB2">
      <w:pPr>
        <w:rPr>
          <w:rFonts w:ascii="Verdana" w:hAnsi="Verdana" w:cs="Arial"/>
          <w:b/>
          <w:bCs/>
          <w:i/>
          <w:iCs/>
          <w:sz w:val="16"/>
          <w:szCs w:val="16"/>
        </w:rPr>
      </w:pPr>
    </w:p>
    <w:p w14:paraId="57D879A0" w14:textId="20FA0BC9" w:rsidR="00515F57" w:rsidRPr="002D7F86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6"/>
          <w:szCs w:val="16"/>
        </w:rPr>
      </w:pPr>
      <w:r w:rsidRPr="002D7F86">
        <w:rPr>
          <w:rFonts w:ascii="Verdana" w:hAnsi="Verdana" w:cs="Arial"/>
          <w:b/>
          <w:bCs/>
          <w:i/>
          <w:iCs/>
          <w:sz w:val="16"/>
          <w:szCs w:val="16"/>
        </w:rPr>
        <w:t>Accredia</w:t>
      </w:r>
      <w:r w:rsidRPr="002D7F86">
        <w:rPr>
          <w:rFonts w:ascii="Verdana" w:hAnsi="Verdana" w:cs="Arial"/>
          <w:bCs/>
          <w:i/>
          <w:iCs/>
          <w:sz w:val="16"/>
          <w:szCs w:val="16"/>
        </w:rPr>
        <w:t xml:space="preserve"> è l'Ente unico nazionale di accreditamento designato dal Governo italiano. Il suo compito è attestare la competenza dei laboratori e degli organismi che verificano la conformità di prodotti, servizi e professionisti agli standard di riferimento, facilitandone la circolazione a livello internazionale.</w:t>
      </w:r>
    </w:p>
    <w:p w14:paraId="26BEDFBE" w14:textId="77777777" w:rsidR="00515F57" w:rsidRPr="002D7F86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6"/>
          <w:szCs w:val="16"/>
        </w:rPr>
      </w:pPr>
    </w:p>
    <w:p w14:paraId="039A5617" w14:textId="5272714E" w:rsidR="00515F57" w:rsidRPr="002D7F86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6"/>
          <w:szCs w:val="16"/>
        </w:rPr>
      </w:pPr>
      <w:r w:rsidRPr="002D7F86">
        <w:rPr>
          <w:rFonts w:ascii="Verdana" w:hAnsi="Verdana" w:cs="Arial"/>
          <w:bCs/>
          <w:i/>
          <w:iCs/>
          <w:sz w:val="16"/>
          <w:szCs w:val="16"/>
        </w:rPr>
        <w:t xml:space="preserve">Accredia è un’associazione privata senza scopo di lucro che opera sotto la vigilanza del Ministero </w:t>
      </w:r>
      <w:r w:rsidR="00846694" w:rsidRPr="002D7F86">
        <w:rPr>
          <w:rFonts w:ascii="Verdana" w:hAnsi="Verdana" w:cs="Arial"/>
          <w:bCs/>
          <w:i/>
          <w:iCs/>
          <w:sz w:val="16"/>
          <w:szCs w:val="16"/>
        </w:rPr>
        <w:t xml:space="preserve">delle Imprese e del Made in Italy </w:t>
      </w:r>
      <w:r w:rsidRPr="002D7F86">
        <w:rPr>
          <w:rFonts w:ascii="Verdana" w:hAnsi="Verdana" w:cs="Arial"/>
          <w:bCs/>
          <w:i/>
          <w:iCs/>
          <w:sz w:val="16"/>
          <w:szCs w:val="16"/>
        </w:rPr>
        <w:t>e svolge un’attività di interesse pubblico, a garanzia delle istituzioni, delle imprese e dei consumatori.</w:t>
      </w:r>
    </w:p>
    <w:p w14:paraId="52E57091" w14:textId="77777777" w:rsidR="00515F57" w:rsidRPr="002D7F86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6"/>
          <w:szCs w:val="16"/>
        </w:rPr>
      </w:pPr>
    </w:p>
    <w:p w14:paraId="471C5E11" w14:textId="40598BB4" w:rsidR="00515F57" w:rsidRPr="002D7F86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6"/>
          <w:szCs w:val="16"/>
        </w:rPr>
      </w:pPr>
      <w:r w:rsidRPr="002D7F86">
        <w:rPr>
          <w:rFonts w:ascii="Verdana" w:hAnsi="Verdana" w:cs="Arial"/>
          <w:bCs/>
          <w:i/>
          <w:iCs/>
          <w:sz w:val="16"/>
          <w:szCs w:val="16"/>
        </w:rPr>
        <w:t>Accredia ha 6</w:t>
      </w:r>
      <w:r w:rsidR="002B21C2" w:rsidRPr="002D7F86">
        <w:rPr>
          <w:rFonts w:ascii="Verdana" w:hAnsi="Verdana" w:cs="Arial"/>
          <w:bCs/>
          <w:i/>
          <w:iCs/>
          <w:sz w:val="16"/>
          <w:szCs w:val="16"/>
        </w:rPr>
        <w:t>9</w:t>
      </w:r>
      <w:r w:rsidRPr="002D7F86">
        <w:rPr>
          <w:rFonts w:ascii="Verdana" w:hAnsi="Verdana" w:cs="Arial"/>
          <w:bCs/>
          <w:i/>
          <w:iCs/>
          <w:sz w:val="16"/>
          <w:szCs w:val="16"/>
        </w:rPr>
        <w:t xml:space="preserve"> soci che rappresentano tutte le parti interessate alle attività di accreditamento e certificazione, tra cui 9 Ministeri (</w:t>
      </w:r>
      <w:r w:rsidR="00846694" w:rsidRPr="002D7F86">
        <w:rPr>
          <w:rFonts w:ascii="Verdana" w:hAnsi="Verdana" w:cs="Arial"/>
          <w:bCs/>
          <w:i/>
          <w:iCs/>
          <w:sz w:val="16"/>
          <w:szCs w:val="16"/>
        </w:rPr>
        <w:t>Imprese e Made in Italy, Ambiente e Sicurezza Energetica, Difesa, Interno, Infrastrutture e Trasporti, Università e Ricerca, Lavoro e Politiche Sociali, Agricoltura, Sovranità Alimentare e Foreste, Salute</w:t>
      </w:r>
      <w:r w:rsidRPr="002D7F86">
        <w:rPr>
          <w:rFonts w:ascii="Verdana" w:hAnsi="Verdana" w:cs="Arial"/>
          <w:bCs/>
          <w:i/>
          <w:iCs/>
          <w:sz w:val="16"/>
          <w:szCs w:val="16"/>
        </w:rPr>
        <w:t>), 7 Enti pubblici di rilievo nazionale, i 2 Enti di normazione nazionali, UNI e CEI, 13 organizzazioni imprenditoriali e del lavoro, le associazioni degli organismi di certificazione e ispezione e dei laboratori di prova e taratura accreditati, le associazioni dei consulenti e dei consumatori e le imprese fornitrici di servizi di pubblica utilità come Ferrovie dello Stato ed Enel.</w:t>
      </w:r>
    </w:p>
    <w:p w14:paraId="26518187" w14:textId="77777777" w:rsidR="00515F57" w:rsidRPr="002D7F86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6"/>
          <w:szCs w:val="16"/>
        </w:rPr>
      </w:pPr>
    </w:p>
    <w:p w14:paraId="1FE2D93C" w14:textId="12E0736A" w:rsidR="00515F57" w:rsidRPr="002D7F86" w:rsidRDefault="00515F57" w:rsidP="00515F57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Verdana" w:hAnsi="Verdana" w:cs="Arial"/>
          <w:bCs/>
          <w:i/>
          <w:iCs/>
          <w:sz w:val="16"/>
          <w:szCs w:val="16"/>
        </w:rPr>
      </w:pPr>
      <w:r w:rsidRPr="002D7F86">
        <w:rPr>
          <w:rFonts w:ascii="Verdana" w:hAnsi="Verdana" w:cs="Arial"/>
          <w:bCs/>
          <w:i/>
          <w:iCs/>
          <w:sz w:val="16"/>
          <w:szCs w:val="16"/>
        </w:rPr>
        <w:t xml:space="preserve">L’Ente è membro dei network </w:t>
      </w:r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di accreditamento </w:t>
      </w:r>
      <w:r w:rsidRPr="002D7F86">
        <w:rPr>
          <w:rFonts w:ascii="Verdana" w:hAnsi="Verdana" w:cs="Arial"/>
          <w:bCs/>
          <w:i/>
          <w:iCs/>
          <w:sz w:val="16"/>
          <w:szCs w:val="16"/>
        </w:rPr>
        <w:t xml:space="preserve">comunitari </w:t>
      </w:r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(EA – </w:t>
      </w:r>
      <w:proofErr w:type="spellStart"/>
      <w:r w:rsidR="001D558D">
        <w:rPr>
          <w:rFonts w:ascii="Verdana" w:hAnsi="Verdana" w:cs="Arial"/>
          <w:bCs/>
          <w:i/>
          <w:iCs/>
          <w:sz w:val="16"/>
          <w:szCs w:val="16"/>
        </w:rPr>
        <w:t>European</w:t>
      </w:r>
      <w:proofErr w:type="spellEnd"/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 </w:t>
      </w:r>
      <w:proofErr w:type="spellStart"/>
      <w:r w:rsidR="001D558D">
        <w:rPr>
          <w:rFonts w:ascii="Verdana" w:hAnsi="Verdana" w:cs="Arial"/>
          <w:bCs/>
          <w:i/>
          <w:iCs/>
          <w:sz w:val="16"/>
          <w:szCs w:val="16"/>
        </w:rPr>
        <w:t>Cooperation</w:t>
      </w:r>
      <w:proofErr w:type="spellEnd"/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 for </w:t>
      </w:r>
      <w:proofErr w:type="spellStart"/>
      <w:r w:rsidR="001D558D">
        <w:rPr>
          <w:rFonts w:ascii="Verdana" w:hAnsi="Verdana" w:cs="Arial"/>
          <w:bCs/>
          <w:i/>
          <w:iCs/>
          <w:sz w:val="16"/>
          <w:szCs w:val="16"/>
        </w:rPr>
        <w:t>Accreditation</w:t>
      </w:r>
      <w:proofErr w:type="spellEnd"/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) </w:t>
      </w:r>
      <w:r w:rsidRPr="002D7F86">
        <w:rPr>
          <w:rFonts w:ascii="Verdana" w:hAnsi="Verdana" w:cs="Arial"/>
          <w:bCs/>
          <w:i/>
          <w:iCs/>
          <w:sz w:val="16"/>
          <w:szCs w:val="16"/>
        </w:rPr>
        <w:t>e internazionali</w:t>
      </w:r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 (IAF – International </w:t>
      </w:r>
      <w:proofErr w:type="spellStart"/>
      <w:r w:rsidR="001D558D">
        <w:rPr>
          <w:rFonts w:ascii="Verdana" w:hAnsi="Verdana" w:cs="Arial"/>
          <w:bCs/>
          <w:i/>
          <w:iCs/>
          <w:sz w:val="16"/>
          <w:szCs w:val="16"/>
        </w:rPr>
        <w:t>Accreditation</w:t>
      </w:r>
      <w:proofErr w:type="spellEnd"/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 Forum – e ILAC – International </w:t>
      </w:r>
      <w:proofErr w:type="spellStart"/>
      <w:r w:rsidR="001D558D">
        <w:rPr>
          <w:rFonts w:ascii="Verdana" w:hAnsi="Verdana" w:cs="Arial"/>
          <w:bCs/>
          <w:i/>
          <w:iCs/>
          <w:sz w:val="16"/>
          <w:szCs w:val="16"/>
        </w:rPr>
        <w:t>Laboratory</w:t>
      </w:r>
      <w:proofErr w:type="spellEnd"/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 </w:t>
      </w:r>
      <w:proofErr w:type="spellStart"/>
      <w:r w:rsidR="001D558D">
        <w:rPr>
          <w:rFonts w:ascii="Verdana" w:hAnsi="Verdana" w:cs="Arial"/>
          <w:bCs/>
          <w:i/>
          <w:iCs/>
          <w:sz w:val="16"/>
          <w:szCs w:val="16"/>
        </w:rPr>
        <w:t>Accreditation</w:t>
      </w:r>
      <w:proofErr w:type="spellEnd"/>
      <w:r w:rsidR="001D558D">
        <w:rPr>
          <w:rFonts w:ascii="Verdana" w:hAnsi="Verdana" w:cs="Arial"/>
          <w:bCs/>
          <w:i/>
          <w:iCs/>
          <w:sz w:val="16"/>
          <w:szCs w:val="16"/>
        </w:rPr>
        <w:t xml:space="preserve"> </w:t>
      </w:r>
      <w:proofErr w:type="spellStart"/>
      <w:r w:rsidR="001D558D">
        <w:rPr>
          <w:rFonts w:ascii="Verdana" w:hAnsi="Verdana" w:cs="Arial"/>
          <w:bCs/>
          <w:i/>
          <w:iCs/>
          <w:sz w:val="16"/>
          <w:szCs w:val="16"/>
        </w:rPr>
        <w:t>Cooperation</w:t>
      </w:r>
      <w:proofErr w:type="spellEnd"/>
      <w:r w:rsidR="001D558D">
        <w:rPr>
          <w:rFonts w:ascii="Verdana" w:hAnsi="Verdana" w:cs="Arial"/>
          <w:bCs/>
          <w:i/>
          <w:iCs/>
          <w:sz w:val="16"/>
          <w:szCs w:val="16"/>
        </w:rPr>
        <w:t>)</w:t>
      </w:r>
      <w:r w:rsidRPr="002D7F86">
        <w:rPr>
          <w:rFonts w:ascii="Verdana" w:hAnsi="Verdana" w:cs="Arial"/>
          <w:bCs/>
          <w:i/>
          <w:iCs/>
          <w:sz w:val="16"/>
          <w:szCs w:val="16"/>
        </w:rPr>
        <w:t xml:space="preserve"> ed è firmatario dei relativi Accordi di mutuo riconoscimento, in virtù dei quali le prove di laboratorio e le certificazioni degli organismi accreditati da Accredia sono riconosciute e accettate in Europa e nel mondo.</w:t>
      </w:r>
    </w:p>
    <w:p w14:paraId="7C7E14C4" w14:textId="77777777" w:rsidR="004B28B4" w:rsidRDefault="004B28B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7E0FB4F5" w14:textId="77777777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58E9C666" w14:textId="77777777" w:rsidR="00F831B2" w:rsidRDefault="00F831B2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5081204" w14:textId="77777777" w:rsidR="00F831B2" w:rsidRDefault="00F831B2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26A5CEE1" w14:textId="77777777" w:rsidR="008B7DB2" w:rsidRDefault="008B7DB2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53B3BA28" w14:textId="77777777" w:rsidR="008B7DB2" w:rsidRDefault="008B7DB2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tbl>
      <w:tblPr>
        <w:tblW w:w="9917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3969"/>
        <w:gridCol w:w="4678"/>
      </w:tblGrid>
      <w:tr w:rsidR="00CE00FE" w:rsidRPr="002E58D5" w14:paraId="70AC35DA" w14:textId="77777777"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3CC0" w14:textId="77777777" w:rsidR="00CE00FE" w:rsidRPr="00515F57" w:rsidRDefault="00CE00FE">
            <w:pPr>
              <w:pStyle w:val="Accredia-TESTO"/>
              <w:spacing w:after="0"/>
            </w:pPr>
            <w:r w:rsidRPr="00515F57">
              <w:t>Con</w:t>
            </w:r>
            <w:r>
              <w:t>tatti</w:t>
            </w:r>
            <w:r w:rsidRPr="00515F57">
              <w:t>: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9F71" w14:textId="77777777" w:rsidR="00CE00FE" w:rsidRPr="00C80A7C" w:rsidRDefault="00CE00FE">
            <w:pPr>
              <w:pStyle w:val="Accredia-TESTO"/>
              <w:spacing w:after="0"/>
              <w:rPr>
                <w:b/>
                <w:bCs/>
              </w:rPr>
            </w:pPr>
            <w:r w:rsidRPr="00C80A7C">
              <w:rPr>
                <w:b/>
                <w:bCs/>
              </w:rPr>
              <w:t>Accredia</w:t>
            </w:r>
          </w:p>
          <w:p w14:paraId="0618781D" w14:textId="77777777" w:rsidR="00CE00FE" w:rsidRDefault="00CE00FE">
            <w:pPr>
              <w:pStyle w:val="Accredia-TESTO"/>
              <w:spacing w:after="0"/>
            </w:pPr>
          </w:p>
          <w:p w14:paraId="73C49DA4" w14:textId="77777777" w:rsidR="00CE00FE" w:rsidRDefault="00CE00FE">
            <w:pPr>
              <w:pStyle w:val="Accredia-TESTO"/>
              <w:spacing w:after="0"/>
            </w:pPr>
            <w:r w:rsidRPr="008B42D7">
              <w:t>Francesca Nizzero</w:t>
            </w:r>
          </w:p>
          <w:p w14:paraId="58E083C1" w14:textId="77777777" w:rsidR="00CE00FE" w:rsidRPr="008B42D7" w:rsidRDefault="00000000">
            <w:pPr>
              <w:pStyle w:val="Accredia-TESTO"/>
              <w:spacing w:after="0"/>
            </w:pPr>
            <w:hyperlink r:id="rId12" w:history="1">
              <w:r w:rsidR="00CE00FE" w:rsidRPr="008B42D7">
                <w:rPr>
                  <w:rStyle w:val="Collegamentoipertestuale"/>
                </w:rPr>
                <w:t>f.nizzero@accredia.it</w:t>
              </w:r>
            </w:hyperlink>
          </w:p>
          <w:p w14:paraId="382B6199" w14:textId="77777777" w:rsidR="00CE00FE" w:rsidRPr="00C80A7C" w:rsidRDefault="00CE00FE">
            <w:pPr>
              <w:pStyle w:val="Accredia-TESTO"/>
              <w:spacing w:after="0"/>
            </w:pPr>
            <w:r w:rsidRPr="008B42D7">
              <w:t>Cell. 338 5611639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064B" w14:textId="77777777" w:rsidR="00CE00FE" w:rsidRPr="00C80A7C" w:rsidRDefault="00CE00FE">
            <w:pPr>
              <w:pStyle w:val="Accredia-TESTO"/>
              <w:spacing w:after="0"/>
              <w:rPr>
                <w:b/>
                <w:bCs/>
              </w:rPr>
            </w:pPr>
            <w:r w:rsidRPr="00C80A7C">
              <w:rPr>
                <w:b/>
                <w:bCs/>
              </w:rPr>
              <w:t>Axelcomm</w:t>
            </w:r>
          </w:p>
          <w:p w14:paraId="469A51AC" w14:textId="77777777" w:rsidR="00CE00FE" w:rsidRDefault="00CE00FE">
            <w:pPr>
              <w:pStyle w:val="Accredia-TESTO"/>
              <w:spacing w:after="0"/>
            </w:pPr>
          </w:p>
          <w:p w14:paraId="293C1904" w14:textId="77777777" w:rsidR="00CE00FE" w:rsidRPr="00C80A7C" w:rsidRDefault="00CE00FE">
            <w:pPr>
              <w:pStyle w:val="Accredia-TESTO"/>
              <w:spacing w:after="0"/>
            </w:pPr>
            <w:r w:rsidRPr="00C80A7C">
              <w:t>Fabio Rovelli</w:t>
            </w:r>
          </w:p>
          <w:p w14:paraId="019866A7" w14:textId="77777777" w:rsidR="00CE00FE" w:rsidRPr="00C80A7C" w:rsidRDefault="00000000">
            <w:pPr>
              <w:pStyle w:val="Accredia-TESTO"/>
              <w:spacing w:after="0"/>
            </w:pPr>
            <w:hyperlink r:id="rId13" w:history="1">
              <w:r w:rsidR="00CE00FE" w:rsidRPr="00C80A7C">
                <w:rPr>
                  <w:rStyle w:val="Collegamentoipertestuale"/>
                </w:rPr>
                <w:t>fabio.rovelli@axel-comm.it</w:t>
              </w:r>
            </w:hyperlink>
          </w:p>
          <w:p w14:paraId="4EA6D0FC" w14:textId="77777777" w:rsidR="00CE00FE" w:rsidRPr="00515F57" w:rsidRDefault="00CE00FE">
            <w:pPr>
              <w:pStyle w:val="Accredia-TESTO"/>
              <w:spacing w:after="0"/>
            </w:pPr>
            <w:r w:rsidRPr="00C80A7C">
              <w:t>Cell. 349 6510535</w:t>
            </w:r>
          </w:p>
        </w:tc>
      </w:tr>
    </w:tbl>
    <w:p w14:paraId="2889E57E" w14:textId="3FF9CFCA" w:rsidR="009A359A" w:rsidRPr="009A359A" w:rsidRDefault="009A359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sectPr w:rsidR="009A359A" w:rsidRPr="009A359A" w:rsidSect="00DB4CC2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72" w:right="1134" w:bottom="1843" w:left="1134" w:header="720" w:footer="1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F083" w14:textId="77777777" w:rsidR="00406D55" w:rsidRDefault="00406D55">
      <w:r>
        <w:separator/>
      </w:r>
    </w:p>
  </w:endnote>
  <w:endnote w:type="continuationSeparator" w:id="0">
    <w:p w14:paraId="2064E7DE" w14:textId="77777777" w:rsidR="00406D55" w:rsidRDefault="00406D55">
      <w:r>
        <w:continuationSeparator/>
      </w:r>
    </w:p>
  </w:endnote>
  <w:endnote w:type="continuationNotice" w:id="1">
    <w:p w14:paraId="156D07E2" w14:textId="77777777" w:rsidR="00406D55" w:rsidRDefault="00406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EE3D77" w:rsidRPr="00991867" w14:paraId="03FC6B83" w14:textId="77777777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59C25C46" w14:textId="77777777" w:rsidR="00EE3D77" w:rsidRPr="00C70D80" w:rsidRDefault="00EE3D77" w:rsidP="00E55AD9">
          <w:pPr>
            <w:pStyle w:val="Pidipagina"/>
            <w:spacing w:line="300" w:lineRule="auto"/>
            <w:rPr>
              <w:b/>
              <w:color w:val="000000" w:themeColor="text1"/>
              <w:spacing w:val="6"/>
              <w:szCs w:val="11"/>
              <w:lang w:val="it-IT"/>
            </w:rPr>
          </w:pPr>
          <w:r w:rsidRPr="007D69D9">
            <w:rPr>
              <w:b/>
              <w:color w:val="000000" w:themeColor="text1"/>
              <w:spacing w:val="6"/>
              <w:szCs w:val="11"/>
              <w:lang w:val="it-IT"/>
            </w:rPr>
            <w:t>ELENCO NORME E DOCUMENTI DI RIFERIMENTO PER L'ACCREDITAMENTO DEGLI ORGANISMI DI CERTIFICAZIONE</w:t>
          </w:r>
        </w:p>
      </w:tc>
      <w:tc>
        <w:tcPr>
          <w:tcW w:w="850" w:type="dxa"/>
          <w:shd w:val="clear" w:color="auto" w:fill="auto"/>
          <w:noWrap/>
        </w:tcPr>
        <w:p w14:paraId="105ABC74" w14:textId="77777777" w:rsidR="00EE3D77" w:rsidRPr="000C5393" w:rsidRDefault="00EE3D77" w:rsidP="00E55AD9">
          <w:pPr>
            <w:pStyle w:val="Pidipagina"/>
            <w:jc w:val="right"/>
            <w:rPr>
              <w:color w:val="000000" w:themeColor="text1"/>
              <w:szCs w:val="11"/>
            </w:rPr>
          </w:pP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PAGE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2</w:t>
          </w:r>
          <w:r w:rsidRPr="000C5393">
            <w:rPr>
              <w:color w:val="000000" w:themeColor="text1"/>
              <w:szCs w:val="11"/>
            </w:rPr>
            <w:fldChar w:fldCharType="end"/>
          </w:r>
          <w:r w:rsidRPr="000C5393">
            <w:rPr>
              <w:color w:val="000000" w:themeColor="text1"/>
              <w:szCs w:val="11"/>
            </w:rPr>
            <w:t>/</w:t>
          </w: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NUMPAGES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3</w:t>
          </w:r>
          <w:r w:rsidRPr="000C5393">
            <w:rPr>
              <w:color w:val="000000" w:themeColor="text1"/>
              <w:szCs w:val="11"/>
            </w:rPr>
            <w:fldChar w:fldCharType="end"/>
          </w:r>
        </w:p>
      </w:tc>
    </w:tr>
    <w:tr w:rsidR="00EE3D77" w:rsidRPr="00991867" w14:paraId="26F1EE74" w14:textId="77777777">
      <w:trPr>
        <w:trHeight w:val="283"/>
      </w:trPr>
      <w:tc>
        <w:tcPr>
          <w:tcW w:w="3402" w:type="dxa"/>
          <w:shd w:val="clear" w:color="auto" w:fill="auto"/>
          <w:noWrap/>
          <w:vAlign w:val="center"/>
        </w:tcPr>
        <w:p w14:paraId="05B52B01" w14:textId="77777777" w:rsidR="00EE3D77" w:rsidRPr="00C55AE1" w:rsidRDefault="00EE3D77" w:rsidP="00E55AD9">
          <w:pPr>
            <w:pStyle w:val="Pidipagina"/>
            <w:spacing w:line="300" w:lineRule="auto"/>
            <w:rPr>
              <w:color w:val="000000" w:themeColor="text1"/>
              <w:spacing w:val="5"/>
              <w:szCs w:val="11"/>
              <w:lang w:val="it-IT"/>
            </w:rPr>
          </w:pPr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DATA DI APPROVAZIONE  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05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-11-2018</w:t>
          </w:r>
        </w:p>
      </w:tc>
      <w:tc>
        <w:tcPr>
          <w:tcW w:w="3118" w:type="dxa"/>
          <w:gridSpan w:val="2"/>
          <w:shd w:val="clear" w:color="auto" w:fill="auto"/>
          <w:noWrap/>
          <w:vAlign w:val="center"/>
        </w:tcPr>
        <w:p w14:paraId="123F7180" w14:textId="77777777" w:rsidR="00EE3D77" w:rsidRPr="000C5393" w:rsidRDefault="00EE3D77" w:rsidP="00E55AD9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  <w:proofErr w:type="gramStart"/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SIGLA  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LS</w:t>
          </w:r>
          <w:proofErr w:type="gramEnd"/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02</w:t>
          </w:r>
        </w:p>
      </w:tc>
    </w:tr>
  </w:tbl>
  <w:p w14:paraId="2A559F66" w14:textId="77777777" w:rsidR="00EE3D77" w:rsidRDefault="00EE3D77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8241" behindDoc="1" locked="1" layoutInCell="1" allowOverlap="1" wp14:anchorId="2AEDFEBE" wp14:editId="0752899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97" name="Immagin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5277D8" w:rsidRPr="00991867" w14:paraId="3CAA9D2C" w14:textId="77777777" w:rsidTr="00795A43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789E1849" w14:textId="77777777" w:rsidR="005277D8" w:rsidRDefault="005277D8" w:rsidP="005277D8">
          <w:pPr>
            <w:pStyle w:val="Pidipagina"/>
            <w:spacing w:line="300" w:lineRule="auto"/>
            <w:rPr>
              <w:rFonts w:ascii="Verdana" w:hAnsi="Verdana"/>
              <w:color w:val="636462"/>
              <w:spacing w:val="20"/>
              <w:sz w:val="14"/>
              <w:szCs w:val="14"/>
            </w:rPr>
          </w:pPr>
          <w:r>
            <w:rPr>
              <w:rFonts w:ascii="Verdana" w:hAnsi="Verdana"/>
              <w:color w:val="636462"/>
              <w:spacing w:val="20"/>
              <w:sz w:val="14"/>
              <w:szCs w:val="14"/>
              <w:lang w:val="it-IT"/>
            </w:rPr>
            <w:t>COMUNICATO STAMPA</w:t>
          </w:r>
          <w:r w:rsidRPr="0011610D">
            <w:rPr>
              <w:rFonts w:ascii="Verdana" w:hAnsi="Verdana"/>
              <w:color w:val="636462"/>
              <w:spacing w:val="20"/>
              <w:sz w:val="14"/>
              <w:szCs w:val="14"/>
            </w:rPr>
            <w:t xml:space="preserve">  </w:t>
          </w:r>
        </w:p>
        <w:p w14:paraId="6061462F" w14:textId="273D9251" w:rsidR="005277D8" w:rsidRPr="005277D8" w:rsidRDefault="005277D8" w:rsidP="005277D8">
          <w:pPr>
            <w:pStyle w:val="Pidipagina"/>
            <w:spacing w:line="300" w:lineRule="auto"/>
            <w:jc w:val="both"/>
            <w:rPr>
              <w:rFonts w:ascii="Verdana" w:hAnsi="Verdana"/>
              <w:b/>
              <w:bCs/>
              <w:color w:val="000000" w:themeColor="text1"/>
              <w:sz w:val="14"/>
              <w:szCs w:val="14"/>
            </w:rPr>
          </w:pPr>
          <w:r w:rsidRPr="005277D8">
            <w:rPr>
              <w:rFonts w:ascii="Verdana" w:hAnsi="Verdana"/>
              <w:b/>
              <w:bCs/>
              <w:color w:val="000000" w:themeColor="text1"/>
              <w:sz w:val="14"/>
              <w:szCs w:val="14"/>
            </w:rPr>
            <w:t>ASSEMBLEA ACCREDIA: LA PUBBLICA AMMINISTRAZIONE, LE IMPRESE E</w:t>
          </w:r>
          <w:r>
            <w:rPr>
              <w:rFonts w:ascii="Verdana" w:hAnsi="Verdana"/>
              <w:b/>
              <w:bCs/>
              <w:color w:val="000000" w:themeColor="text1"/>
              <w:sz w:val="14"/>
              <w:szCs w:val="14"/>
              <w:lang w:val="it-IT"/>
            </w:rPr>
            <w:t xml:space="preserve"> </w:t>
          </w:r>
          <w:r w:rsidRPr="005277D8">
            <w:rPr>
              <w:rFonts w:ascii="Verdana" w:hAnsi="Verdana"/>
              <w:b/>
              <w:bCs/>
              <w:color w:val="000000" w:themeColor="text1"/>
              <w:sz w:val="14"/>
              <w:szCs w:val="14"/>
            </w:rPr>
            <w:t>I PROFESSIONISTI SI AFFIDANO SEMPRE PIÙ ALL’ACCREDITAMENTO</w:t>
          </w:r>
        </w:p>
        <w:p w14:paraId="6416B0BD" w14:textId="5E4E930D" w:rsidR="005277D8" w:rsidRPr="008B42D7" w:rsidRDefault="005277D8" w:rsidP="005277D8">
          <w:pPr>
            <w:pStyle w:val="Pidipagina"/>
            <w:spacing w:line="300" w:lineRule="auto"/>
            <w:rPr>
              <w:rFonts w:ascii="Verdana" w:hAnsi="Verdana"/>
              <w:b/>
              <w:bCs/>
              <w:color w:val="000000" w:themeColor="text1"/>
              <w:sz w:val="14"/>
              <w:szCs w:val="14"/>
              <w:lang w:val="it-IT"/>
            </w:rPr>
          </w:pPr>
        </w:p>
      </w:tc>
      <w:tc>
        <w:tcPr>
          <w:tcW w:w="850" w:type="dxa"/>
          <w:shd w:val="clear" w:color="auto" w:fill="auto"/>
          <w:noWrap/>
        </w:tcPr>
        <w:p w14:paraId="55872531" w14:textId="77777777" w:rsidR="005277D8" w:rsidRPr="007C38FC" w:rsidRDefault="005277D8" w:rsidP="005277D8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2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5277D8" w:rsidRPr="00991867" w14:paraId="20FBAA01" w14:textId="77777777" w:rsidTr="00795A43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785C68B0" w14:textId="77777777" w:rsidR="005277D8" w:rsidRPr="007C38FC" w:rsidRDefault="005277D8" w:rsidP="005277D8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0C2921A0" w14:textId="77777777" w:rsidR="005277D8" w:rsidRPr="007C38FC" w:rsidRDefault="005277D8" w:rsidP="005277D8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32045244" w14:textId="77777777" w:rsidR="00EE3D77" w:rsidRDefault="00EE3D77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8242" behindDoc="1" locked="1" layoutInCell="1" allowOverlap="1" wp14:anchorId="0474C258" wp14:editId="0E5059B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98" name="Immagin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EE3D77" w:rsidRPr="00991867" w14:paraId="0DC12B9D" w14:textId="77777777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4E361A2B" w14:textId="77777777" w:rsidR="00EE3D77" w:rsidRPr="007C38FC" w:rsidRDefault="00EE3D77" w:rsidP="005D176B">
          <w:pPr>
            <w:pStyle w:val="Pidipagina"/>
            <w:spacing w:line="300" w:lineRule="auto"/>
            <w:rPr>
              <w:rFonts w:ascii="Verdana" w:hAnsi="Verdana"/>
              <w:b/>
              <w:color w:val="000000" w:themeColor="text1"/>
              <w:spacing w:val="6"/>
              <w:sz w:val="14"/>
              <w:szCs w:val="14"/>
              <w:lang w:val="it-IT"/>
            </w:rPr>
          </w:pPr>
        </w:p>
      </w:tc>
      <w:tc>
        <w:tcPr>
          <w:tcW w:w="850" w:type="dxa"/>
          <w:shd w:val="clear" w:color="auto" w:fill="auto"/>
          <w:noWrap/>
        </w:tcPr>
        <w:p w14:paraId="0C96BC44" w14:textId="77777777" w:rsidR="00EE3D77" w:rsidRPr="007C38FC" w:rsidRDefault="00EE3D77" w:rsidP="005D176B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="00A644E2">
            <w:rPr>
              <w:rFonts w:ascii="Verdana" w:hAnsi="Verdana"/>
              <w:noProof/>
              <w:color w:val="000000" w:themeColor="text1"/>
              <w:sz w:val="14"/>
              <w:szCs w:val="14"/>
            </w:rPr>
            <w:t>1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="00A644E2">
            <w:rPr>
              <w:rFonts w:ascii="Verdana" w:hAnsi="Verdana"/>
              <w:noProof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EE3D77" w:rsidRPr="00991867" w14:paraId="1D520022" w14:textId="77777777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46B2CE46" w14:textId="77777777" w:rsidR="00EE3D77" w:rsidRPr="007C38FC" w:rsidRDefault="00EE3D77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54A01BA9" w14:textId="77777777" w:rsidR="00EE3D77" w:rsidRPr="007C38FC" w:rsidRDefault="00EE3D77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6DDBD4BE" w14:textId="77777777" w:rsidR="00EE3D77" w:rsidRDefault="00EE3D77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8240" behindDoc="1" locked="1" layoutInCell="1" allowOverlap="1" wp14:anchorId="1ECE74B1" wp14:editId="3EC555C9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57997" cy="1170000"/>
          <wp:effectExtent l="0" t="0" r="0" b="0"/>
          <wp:wrapNone/>
          <wp:docPr id="100" name="Immagin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16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E2F3" w14:textId="77777777" w:rsidR="00406D55" w:rsidRDefault="00406D55">
      <w:r>
        <w:separator/>
      </w:r>
    </w:p>
  </w:footnote>
  <w:footnote w:type="continuationSeparator" w:id="0">
    <w:p w14:paraId="20BC8406" w14:textId="77777777" w:rsidR="00406D55" w:rsidRDefault="00406D55">
      <w:r>
        <w:continuationSeparator/>
      </w:r>
    </w:p>
  </w:footnote>
  <w:footnote w:type="continuationNotice" w:id="1">
    <w:p w14:paraId="522FED19" w14:textId="77777777" w:rsidR="00406D55" w:rsidRDefault="00406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3D40" w14:textId="3E6A5CDE" w:rsidR="00EE3D77" w:rsidRPr="007E4C19" w:rsidRDefault="00EE3D77" w:rsidP="00AF62F5">
    <w:pPr>
      <w:tabs>
        <w:tab w:val="center" w:pos="4819"/>
        <w:tab w:val="right" w:pos="9638"/>
      </w:tabs>
      <w:jc w:val="center"/>
      <w:rPr>
        <w:rFonts w:ascii="Montserrat" w:eastAsia="Calibri" w:hAnsi="Montserrat"/>
        <w:sz w:val="22"/>
        <w:szCs w:val="22"/>
        <w:lang w:eastAsia="en-US"/>
      </w:rPr>
    </w:pPr>
    <w:r w:rsidRPr="0097501F">
      <w:rPr>
        <w:rFonts w:ascii="Montserrat" w:eastAsia="Calibri" w:hAnsi="Montserrat"/>
        <w:noProof/>
        <w:sz w:val="22"/>
        <w:szCs w:val="22"/>
      </w:rPr>
      <w:drawing>
        <wp:inline distT="0" distB="0" distL="0" distR="0" wp14:anchorId="11797F40" wp14:editId="7D13827A">
          <wp:extent cx="1900800" cy="757750"/>
          <wp:effectExtent l="0" t="0" r="4445" b="4445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_2021_picc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75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D8E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36E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9CD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80C2F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4A2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60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605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D09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D82B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53A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E9A8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39C6"/>
    <w:multiLevelType w:val="hybridMultilevel"/>
    <w:tmpl w:val="2312BB02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F1D19"/>
    <w:multiLevelType w:val="hybridMultilevel"/>
    <w:tmpl w:val="E304BB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C792F"/>
    <w:multiLevelType w:val="hybridMultilevel"/>
    <w:tmpl w:val="3558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63A3A"/>
    <w:multiLevelType w:val="hybridMultilevel"/>
    <w:tmpl w:val="2856C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22BD"/>
    <w:multiLevelType w:val="hybridMultilevel"/>
    <w:tmpl w:val="5C2C8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A2EE7"/>
    <w:multiLevelType w:val="hybridMultilevel"/>
    <w:tmpl w:val="B1F4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37491"/>
    <w:multiLevelType w:val="hybridMultilevel"/>
    <w:tmpl w:val="57F01728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996A42"/>
    <w:multiLevelType w:val="hybridMultilevel"/>
    <w:tmpl w:val="6E20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D3208"/>
    <w:multiLevelType w:val="hybridMultilevel"/>
    <w:tmpl w:val="255EEFFE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1455EC"/>
    <w:multiLevelType w:val="hybridMultilevel"/>
    <w:tmpl w:val="DA7EB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68141">
    <w:abstractNumId w:val="0"/>
  </w:num>
  <w:num w:numId="2" w16cid:durableId="1037703123">
    <w:abstractNumId w:val="9"/>
  </w:num>
  <w:num w:numId="3" w16cid:durableId="13383125">
    <w:abstractNumId w:val="4"/>
  </w:num>
  <w:num w:numId="4" w16cid:durableId="33777082">
    <w:abstractNumId w:val="3"/>
  </w:num>
  <w:num w:numId="5" w16cid:durableId="1844662679">
    <w:abstractNumId w:val="2"/>
  </w:num>
  <w:num w:numId="6" w16cid:durableId="506748135">
    <w:abstractNumId w:val="1"/>
  </w:num>
  <w:num w:numId="7" w16cid:durableId="771976346">
    <w:abstractNumId w:val="10"/>
  </w:num>
  <w:num w:numId="8" w16cid:durableId="441656297">
    <w:abstractNumId w:val="8"/>
  </w:num>
  <w:num w:numId="9" w16cid:durableId="1422066229">
    <w:abstractNumId w:val="7"/>
  </w:num>
  <w:num w:numId="10" w16cid:durableId="197935847">
    <w:abstractNumId w:val="6"/>
  </w:num>
  <w:num w:numId="11" w16cid:durableId="1603606263">
    <w:abstractNumId w:val="5"/>
  </w:num>
  <w:num w:numId="12" w16cid:durableId="1067460098">
    <w:abstractNumId w:val="13"/>
  </w:num>
  <w:num w:numId="13" w16cid:durableId="5076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52330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89435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3081343">
    <w:abstractNumId w:val="12"/>
  </w:num>
  <w:num w:numId="17" w16cid:durableId="19785333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3440195">
    <w:abstractNumId w:val="11"/>
  </w:num>
  <w:num w:numId="19" w16cid:durableId="86779293">
    <w:abstractNumId w:val="12"/>
  </w:num>
  <w:num w:numId="20" w16cid:durableId="6061837">
    <w:abstractNumId w:val="20"/>
  </w:num>
  <w:num w:numId="21" w16cid:durableId="1252935321">
    <w:abstractNumId w:val="14"/>
  </w:num>
  <w:num w:numId="22" w16cid:durableId="521208364">
    <w:abstractNumId w:val="15"/>
  </w:num>
  <w:num w:numId="23" w16cid:durableId="82800068">
    <w:abstractNumId w:val="18"/>
  </w:num>
  <w:num w:numId="24" w16cid:durableId="922686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1"/>
    <w:rsid w:val="000041C3"/>
    <w:rsid w:val="0000446A"/>
    <w:rsid w:val="000065EB"/>
    <w:rsid w:val="00006622"/>
    <w:rsid w:val="00012366"/>
    <w:rsid w:val="00012C5A"/>
    <w:rsid w:val="0001613E"/>
    <w:rsid w:val="000165A7"/>
    <w:rsid w:val="00026135"/>
    <w:rsid w:val="00026346"/>
    <w:rsid w:val="0002718D"/>
    <w:rsid w:val="0002741C"/>
    <w:rsid w:val="000275BE"/>
    <w:rsid w:val="0003011F"/>
    <w:rsid w:val="0003123E"/>
    <w:rsid w:val="0003160C"/>
    <w:rsid w:val="00031992"/>
    <w:rsid w:val="00032CC3"/>
    <w:rsid w:val="000330F9"/>
    <w:rsid w:val="00033972"/>
    <w:rsid w:val="00034889"/>
    <w:rsid w:val="00035CFC"/>
    <w:rsid w:val="00036E02"/>
    <w:rsid w:val="00040763"/>
    <w:rsid w:val="00043286"/>
    <w:rsid w:val="0004465D"/>
    <w:rsid w:val="00046255"/>
    <w:rsid w:val="0005128C"/>
    <w:rsid w:val="00052F5A"/>
    <w:rsid w:val="00056F79"/>
    <w:rsid w:val="00057DB3"/>
    <w:rsid w:val="00061141"/>
    <w:rsid w:val="000659AA"/>
    <w:rsid w:val="00066D99"/>
    <w:rsid w:val="00067888"/>
    <w:rsid w:val="00070B0A"/>
    <w:rsid w:val="000746D1"/>
    <w:rsid w:val="000843E8"/>
    <w:rsid w:val="00086389"/>
    <w:rsid w:val="00087FBD"/>
    <w:rsid w:val="000901F5"/>
    <w:rsid w:val="000902FD"/>
    <w:rsid w:val="00090A13"/>
    <w:rsid w:val="00096698"/>
    <w:rsid w:val="000A217B"/>
    <w:rsid w:val="000A448F"/>
    <w:rsid w:val="000A558C"/>
    <w:rsid w:val="000A6E1A"/>
    <w:rsid w:val="000B0B71"/>
    <w:rsid w:val="000B0D63"/>
    <w:rsid w:val="000B2E9B"/>
    <w:rsid w:val="000B3E52"/>
    <w:rsid w:val="000B7036"/>
    <w:rsid w:val="000C2354"/>
    <w:rsid w:val="000C2A52"/>
    <w:rsid w:val="000C3014"/>
    <w:rsid w:val="000C549B"/>
    <w:rsid w:val="000C6C53"/>
    <w:rsid w:val="000C7745"/>
    <w:rsid w:val="000D092F"/>
    <w:rsid w:val="000D3295"/>
    <w:rsid w:val="000D448D"/>
    <w:rsid w:val="000D60E8"/>
    <w:rsid w:val="000D7718"/>
    <w:rsid w:val="000E2778"/>
    <w:rsid w:val="000E6805"/>
    <w:rsid w:val="000E7300"/>
    <w:rsid w:val="000F0F41"/>
    <w:rsid w:val="000F0FE4"/>
    <w:rsid w:val="000F5893"/>
    <w:rsid w:val="000F71A8"/>
    <w:rsid w:val="000F7342"/>
    <w:rsid w:val="000F744B"/>
    <w:rsid w:val="00103442"/>
    <w:rsid w:val="00105069"/>
    <w:rsid w:val="0010558F"/>
    <w:rsid w:val="001064D2"/>
    <w:rsid w:val="00107C07"/>
    <w:rsid w:val="00110250"/>
    <w:rsid w:val="00110BEF"/>
    <w:rsid w:val="00120889"/>
    <w:rsid w:val="001225E9"/>
    <w:rsid w:val="00125B70"/>
    <w:rsid w:val="00125D17"/>
    <w:rsid w:val="00126983"/>
    <w:rsid w:val="001274C6"/>
    <w:rsid w:val="00130D3E"/>
    <w:rsid w:val="0013627D"/>
    <w:rsid w:val="00136FE6"/>
    <w:rsid w:val="00137B11"/>
    <w:rsid w:val="0014143B"/>
    <w:rsid w:val="00144009"/>
    <w:rsid w:val="00145E0E"/>
    <w:rsid w:val="00152DAC"/>
    <w:rsid w:val="00153052"/>
    <w:rsid w:val="001631FF"/>
    <w:rsid w:val="00165800"/>
    <w:rsid w:val="001664F6"/>
    <w:rsid w:val="00166A2E"/>
    <w:rsid w:val="00170BE2"/>
    <w:rsid w:val="001722EB"/>
    <w:rsid w:val="001739BB"/>
    <w:rsid w:val="00174756"/>
    <w:rsid w:val="001806F2"/>
    <w:rsid w:val="00180C0B"/>
    <w:rsid w:val="00181755"/>
    <w:rsid w:val="00182E25"/>
    <w:rsid w:val="00184E86"/>
    <w:rsid w:val="001867F8"/>
    <w:rsid w:val="001874B3"/>
    <w:rsid w:val="00187A9B"/>
    <w:rsid w:val="0019112F"/>
    <w:rsid w:val="00192186"/>
    <w:rsid w:val="00193C78"/>
    <w:rsid w:val="001944D5"/>
    <w:rsid w:val="00195E76"/>
    <w:rsid w:val="00196F46"/>
    <w:rsid w:val="00197ACC"/>
    <w:rsid w:val="001A06B8"/>
    <w:rsid w:val="001A241E"/>
    <w:rsid w:val="001A2838"/>
    <w:rsid w:val="001A2E9E"/>
    <w:rsid w:val="001A3DA1"/>
    <w:rsid w:val="001B23CC"/>
    <w:rsid w:val="001B2DCC"/>
    <w:rsid w:val="001B30E3"/>
    <w:rsid w:val="001B3E52"/>
    <w:rsid w:val="001B5BE0"/>
    <w:rsid w:val="001B659A"/>
    <w:rsid w:val="001B721C"/>
    <w:rsid w:val="001C02A3"/>
    <w:rsid w:val="001C0CA4"/>
    <w:rsid w:val="001C0E35"/>
    <w:rsid w:val="001C1263"/>
    <w:rsid w:val="001C289A"/>
    <w:rsid w:val="001C45EA"/>
    <w:rsid w:val="001C60A2"/>
    <w:rsid w:val="001C6BF8"/>
    <w:rsid w:val="001D08B7"/>
    <w:rsid w:val="001D482A"/>
    <w:rsid w:val="001D558D"/>
    <w:rsid w:val="001D5A47"/>
    <w:rsid w:val="001D602C"/>
    <w:rsid w:val="001D6E17"/>
    <w:rsid w:val="001D6F65"/>
    <w:rsid w:val="001D7AA1"/>
    <w:rsid w:val="001E02A8"/>
    <w:rsid w:val="001E5B1A"/>
    <w:rsid w:val="001F2C30"/>
    <w:rsid w:val="001F3B23"/>
    <w:rsid w:val="001F5FE4"/>
    <w:rsid w:val="001F7170"/>
    <w:rsid w:val="00201640"/>
    <w:rsid w:val="00201829"/>
    <w:rsid w:val="002019AC"/>
    <w:rsid w:val="00201D17"/>
    <w:rsid w:val="00204A40"/>
    <w:rsid w:val="002051DF"/>
    <w:rsid w:val="00205F6E"/>
    <w:rsid w:val="0020624A"/>
    <w:rsid w:val="002123BC"/>
    <w:rsid w:val="00212956"/>
    <w:rsid w:val="00217BCB"/>
    <w:rsid w:val="00217E18"/>
    <w:rsid w:val="002201F1"/>
    <w:rsid w:val="00220922"/>
    <w:rsid w:val="0022159C"/>
    <w:rsid w:val="00222FBA"/>
    <w:rsid w:val="0022465A"/>
    <w:rsid w:val="002303EE"/>
    <w:rsid w:val="0023132F"/>
    <w:rsid w:val="00232F8E"/>
    <w:rsid w:val="002340D2"/>
    <w:rsid w:val="00234ADA"/>
    <w:rsid w:val="002354A6"/>
    <w:rsid w:val="00240E7D"/>
    <w:rsid w:val="0024504A"/>
    <w:rsid w:val="002557AF"/>
    <w:rsid w:val="00261061"/>
    <w:rsid w:val="0026132B"/>
    <w:rsid w:val="00261F61"/>
    <w:rsid w:val="00263048"/>
    <w:rsid w:val="002633ED"/>
    <w:rsid w:val="00264F89"/>
    <w:rsid w:val="00266676"/>
    <w:rsid w:val="002668F3"/>
    <w:rsid w:val="00267099"/>
    <w:rsid w:val="00277A09"/>
    <w:rsid w:val="002813D7"/>
    <w:rsid w:val="00282495"/>
    <w:rsid w:val="00282B29"/>
    <w:rsid w:val="00284079"/>
    <w:rsid w:val="002906BD"/>
    <w:rsid w:val="00290849"/>
    <w:rsid w:val="00292E11"/>
    <w:rsid w:val="00296C48"/>
    <w:rsid w:val="002972DA"/>
    <w:rsid w:val="002A06C2"/>
    <w:rsid w:val="002A2F26"/>
    <w:rsid w:val="002A4E9E"/>
    <w:rsid w:val="002A6BB7"/>
    <w:rsid w:val="002B0299"/>
    <w:rsid w:val="002B21C2"/>
    <w:rsid w:val="002B36D4"/>
    <w:rsid w:val="002B61D0"/>
    <w:rsid w:val="002D181A"/>
    <w:rsid w:val="002D3C24"/>
    <w:rsid w:val="002D4824"/>
    <w:rsid w:val="002D66F7"/>
    <w:rsid w:val="002D7C67"/>
    <w:rsid w:val="002D7F86"/>
    <w:rsid w:val="002E15C5"/>
    <w:rsid w:val="002E1911"/>
    <w:rsid w:val="002E2179"/>
    <w:rsid w:val="002E43B4"/>
    <w:rsid w:val="002E6C7C"/>
    <w:rsid w:val="002F064A"/>
    <w:rsid w:val="002F5E84"/>
    <w:rsid w:val="002F7B57"/>
    <w:rsid w:val="00300FC3"/>
    <w:rsid w:val="00301837"/>
    <w:rsid w:val="003051A0"/>
    <w:rsid w:val="00316212"/>
    <w:rsid w:val="00316AC2"/>
    <w:rsid w:val="00321DE1"/>
    <w:rsid w:val="003228B1"/>
    <w:rsid w:val="00324065"/>
    <w:rsid w:val="00324CA0"/>
    <w:rsid w:val="00331E30"/>
    <w:rsid w:val="00333179"/>
    <w:rsid w:val="003335AD"/>
    <w:rsid w:val="00334DCA"/>
    <w:rsid w:val="003369BC"/>
    <w:rsid w:val="003430E3"/>
    <w:rsid w:val="00344D37"/>
    <w:rsid w:val="0034526C"/>
    <w:rsid w:val="003458F6"/>
    <w:rsid w:val="00345EE8"/>
    <w:rsid w:val="003463ED"/>
    <w:rsid w:val="00346EB8"/>
    <w:rsid w:val="00347817"/>
    <w:rsid w:val="0035092A"/>
    <w:rsid w:val="00355B8C"/>
    <w:rsid w:val="003563FB"/>
    <w:rsid w:val="003610EA"/>
    <w:rsid w:val="003705FE"/>
    <w:rsid w:val="00372E29"/>
    <w:rsid w:val="00373020"/>
    <w:rsid w:val="00380AD8"/>
    <w:rsid w:val="00380C04"/>
    <w:rsid w:val="00381ADC"/>
    <w:rsid w:val="0038415E"/>
    <w:rsid w:val="00384F8F"/>
    <w:rsid w:val="00387B9E"/>
    <w:rsid w:val="00392E1E"/>
    <w:rsid w:val="003935BD"/>
    <w:rsid w:val="0039747F"/>
    <w:rsid w:val="00397FCC"/>
    <w:rsid w:val="003A0EC2"/>
    <w:rsid w:val="003A2867"/>
    <w:rsid w:val="003A4BAD"/>
    <w:rsid w:val="003A61B9"/>
    <w:rsid w:val="003A67AE"/>
    <w:rsid w:val="003A7C85"/>
    <w:rsid w:val="003B026B"/>
    <w:rsid w:val="003B1EB4"/>
    <w:rsid w:val="003B5979"/>
    <w:rsid w:val="003B7166"/>
    <w:rsid w:val="003C2121"/>
    <w:rsid w:val="003C6001"/>
    <w:rsid w:val="003C64F0"/>
    <w:rsid w:val="003D3CB9"/>
    <w:rsid w:val="003D4A53"/>
    <w:rsid w:val="003D7B77"/>
    <w:rsid w:val="003E2FBA"/>
    <w:rsid w:val="003E3599"/>
    <w:rsid w:val="003E4B62"/>
    <w:rsid w:val="003E4DB6"/>
    <w:rsid w:val="003E6072"/>
    <w:rsid w:val="003E76D5"/>
    <w:rsid w:val="003E78A0"/>
    <w:rsid w:val="003F02A6"/>
    <w:rsid w:val="003F0871"/>
    <w:rsid w:val="003F2180"/>
    <w:rsid w:val="003F2CFE"/>
    <w:rsid w:val="003F540C"/>
    <w:rsid w:val="003F75E5"/>
    <w:rsid w:val="003F7BA8"/>
    <w:rsid w:val="004020C3"/>
    <w:rsid w:val="00404142"/>
    <w:rsid w:val="0040492F"/>
    <w:rsid w:val="00404E18"/>
    <w:rsid w:val="00406D55"/>
    <w:rsid w:val="00406DD1"/>
    <w:rsid w:val="00412BC2"/>
    <w:rsid w:val="004147A7"/>
    <w:rsid w:val="004147E1"/>
    <w:rsid w:val="00416D86"/>
    <w:rsid w:val="00417046"/>
    <w:rsid w:val="00417B3C"/>
    <w:rsid w:val="00417D7B"/>
    <w:rsid w:val="00421030"/>
    <w:rsid w:val="004216F6"/>
    <w:rsid w:val="00422065"/>
    <w:rsid w:val="004251AC"/>
    <w:rsid w:val="00425E8B"/>
    <w:rsid w:val="00426D3F"/>
    <w:rsid w:val="00432BC9"/>
    <w:rsid w:val="00434212"/>
    <w:rsid w:val="00440144"/>
    <w:rsid w:val="0044175C"/>
    <w:rsid w:val="00441C98"/>
    <w:rsid w:val="00441E4F"/>
    <w:rsid w:val="004437BB"/>
    <w:rsid w:val="0045188C"/>
    <w:rsid w:val="00451FFE"/>
    <w:rsid w:val="004550C6"/>
    <w:rsid w:val="00466E14"/>
    <w:rsid w:val="004676FC"/>
    <w:rsid w:val="004748FB"/>
    <w:rsid w:val="00481995"/>
    <w:rsid w:val="004849EF"/>
    <w:rsid w:val="00486152"/>
    <w:rsid w:val="004863E8"/>
    <w:rsid w:val="004916BF"/>
    <w:rsid w:val="00492960"/>
    <w:rsid w:val="004931D5"/>
    <w:rsid w:val="0049572C"/>
    <w:rsid w:val="00495B28"/>
    <w:rsid w:val="00496541"/>
    <w:rsid w:val="00496DA2"/>
    <w:rsid w:val="004A035E"/>
    <w:rsid w:val="004A1EC1"/>
    <w:rsid w:val="004A1F0B"/>
    <w:rsid w:val="004A2027"/>
    <w:rsid w:val="004A5810"/>
    <w:rsid w:val="004A6CA9"/>
    <w:rsid w:val="004A6EDA"/>
    <w:rsid w:val="004A6FB2"/>
    <w:rsid w:val="004A773D"/>
    <w:rsid w:val="004B28B4"/>
    <w:rsid w:val="004B2B5E"/>
    <w:rsid w:val="004B4DBE"/>
    <w:rsid w:val="004B5C23"/>
    <w:rsid w:val="004C2553"/>
    <w:rsid w:val="004C4DD6"/>
    <w:rsid w:val="004C50F6"/>
    <w:rsid w:val="004C6CCD"/>
    <w:rsid w:val="004D28A8"/>
    <w:rsid w:val="004E0605"/>
    <w:rsid w:val="004E3E5E"/>
    <w:rsid w:val="004E4F76"/>
    <w:rsid w:val="004F1725"/>
    <w:rsid w:val="004F1752"/>
    <w:rsid w:val="004F459E"/>
    <w:rsid w:val="004F760C"/>
    <w:rsid w:val="00500336"/>
    <w:rsid w:val="00500FE7"/>
    <w:rsid w:val="005027D5"/>
    <w:rsid w:val="00503D4F"/>
    <w:rsid w:val="00506FAB"/>
    <w:rsid w:val="00512A6F"/>
    <w:rsid w:val="00515F57"/>
    <w:rsid w:val="00517419"/>
    <w:rsid w:val="005277D8"/>
    <w:rsid w:val="00527E2A"/>
    <w:rsid w:val="00527F38"/>
    <w:rsid w:val="00530B2B"/>
    <w:rsid w:val="00531EE4"/>
    <w:rsid w:val="005342CA"/>
    <w:rsid w:val="00535054"/>
    <w:rsid w:val="0054241C"/>
    <w:rsid w:val="00543863"/>
    <w:rsid w:val="00545A48"/>
    <w:rsid w:val="005505F8"/>
    <w:rsid w:val="00553283"/>
    <w:rsid w:val="00554D97"/>
    <w:rsid w:val="00555F90"/>
    <w:rsid w:val="00556D86"/>
    <w:rsid w:val="005614D5"/>
    <w:rsid w:val="00562D7F"/>
    <w:rsid w:val="00562E8A"/>
    <w:rsid w:val="005669B2"/>
    <w:rsid w:val="00571E2D"/>
    <w:rsid w:val="00575955"/>
    <w:rsid w:val="00577530"/>
    <w:rsid w:val="0058006E"/>
    <w:rsid w:val="005803C3"/>
    <w:rsid w:val="00580939"/>
    <w:rsid w:val="00582A67"/>
    <w:rsid w:val="005873FD"/>
    <w:rsid w:val="00592AFE"/>
    <w:rsid w:val="005951F2"/>
    <w:rsid w:val="00596D15"/>
    <w:rsid w:val="005A3548"/>
    <w:rsid w:val="005A44EF"/>
    <w:rsid w:val="005A4A83"/>
    <w:rsid w:val="005A5E95"/>
    <w:rsid w:val="005A7651"/>
    <w:rsid w:val="005B2177"/>
    <w:rsid w:val="005B25F9"/>
    <w:rsid w:val="005B2F62"/>
    <w:rsid w:val="005B3767"/>
    <w:rsid w:val="005B4497"/>
    <w:rsid w:val="005B5632"/>
    <w:rsid w:val="005B6F5D"/>
    <w:rsid w:val="005C13CE"/>
    <w:rsid w:val="005C1A55"/>
    <w:rsid w:val="005C1C68"/>
    <w:rsid w:val="005C5D5B"/>
    <w:rsid w:val="005D176B"/>
    <w:rsid w:val="005D1DED"/>
    <w:rsid w:val="005D3DCB"/>
    <w:rsid w:val="005D4BC7"/>
    <w:rsid w:val="005D6289"/>
    <w:rsid w:val="005D67F8"/>
    <w:rsid w:val="005E1855"/>
    <w:rsid w:val="005E4386"/>
    <w:rsid w:val="005E4EBB"/>
    <w:rsid w:val="005F034C"/>
    <w:rsid w:val="005F1F68"/>
    <w:rsid w:val="005F430D"/>
    <w:rsid w:val="005F773B"/>
    <w:rsid w:val="00600A72"/>
    <w:rsid w:val="0060506C"/>
    <w:rsid w:val="00605B0C"/>
    <w:rsid w:val="006101F4"/>
    <w:rsid w:val="00610A23"/>
    <w:rsid w:val="00612992"/>
    <w:rsid w:val="00616AD6"/>
    <w:rsid w:val="0062260F"/>
    <w:rsid w:val="006231AD"/>
    <w:rsid w:val="00626CD7"/>
    <w:rsid w:val="00635991"/>
    <w:rsid w:val="00636019"/>
    <w:rsid w:val="006363E8"/>
    <w:rsid w:val="00637E7D"/>
    <w:rsid w:val="00642331"/>
    <w:rsid w:val="00643627"/>
    <w:rsid w:val="00645C89"/>
    <w:rsid w:val="00646924"/>
    <w:rsid w:val="00646A8C"/>
    <w:rsid w:val="0064717C"/>
    <w:rsid w:val="00652B58"/>
    <w:rsid w:val="00652F55"/>
    <w:rsid w:val="00653CA4"/>
    <w:rsid w:val="00654A5C"/>
    <w:rsid w:val="00654D29"/>
    <w:rsid w:val="00655E1B"/>
    <w:rsid w:val="00656C1D"/>
    <w:rsid w:val="0065755E"/>
    <w:rsid w:val="00657B34"/>
    <w:rsid w:val="0066231A"/>
    <w:rsid w:val="00675853"/>
    <w:rsid w:val="00675A1A"/>
    <w:rsid w:val="00680D79"/>
    <w:rsid w:val="00681B48"/>
    <w:rsid w:val="0068316D"/>
    <w:rsid w:val="00683206"/>
    <w:rsid w:val="00684C25"/>
    <w:rsid w:val="00685D04"/>
    <w:rsid w:val="006872C1"/>
    <w:rsid w:val="006908C9"/>
    <w:rsid w:val="006910C1"/>
    <w:rsid w:val="00695442"/>
    <w:rsid w:val="006A0E55"/>
    <w:rsid w:val="006A45F9"/>
    <w:rsid w:val="006A4A0A"/>
    <w:rsid w:val="006A50DE"/>
    <w:rsid w:val="006A6BA5"/>
    <w:rsid w:val="006B0EC4"/>
    <w:rsid w:val="006B301A"/>
    <w:rsid w:val="006B43E8"/>
    <w:rsid w:val="006B447B"/>
    <w:rsid w:val="006B4952"/>
    <w:rsid w:val="006B5C7E"/>
    <w:rsid w:val="006B64D4"/>
    <w:rsid w:val="006B6BC3"/>
    <w:rsid w:val="006C196B"/>
    <w:rsid w:val="006C2108"/>
    <w:rsid w:val="006C7469"/>
    <w:rsid w:val="006D1C1F"/>
    <w:rsid w:val="006D552B"/>
    <w:rsid w:val="006D59BD"/>
    <w:rsid w:val="006E12DB"/>
    <w:rsid w:val="006E75E4"/>
    <w:rsid w:val="006F1266"/>
    <w:rsid w:val="006F188C"/>
    <w:rsid w:val="006F1E1A"/>
    <w:rsid w:val="006F28F0"/>
    <w:rsid w:val="006F29DA"/>
    <w:rsid w:val="007009D1"/>
    <w:rsid w:val="007021DE"/>
    <w:rsid w:val="00702E72"/>
    <w:rsid w:val="0070668B"/>
    <w:rsid w:val="00706C7E"/>
    <w:rsid w:val="00710FE0"/>
    <w:rsid w:val="007126CB"/>
    <w:rsid w:val="00716872"/>
    <w:rsid w:val="00717A37"/>
    <w:rsid w:val="00717C2D"/>
    <w:rsid w:val="00717E4D"/>
    <w:rsid w:val="00721121"/>
    <w:rsid w:val="00721E77"/>
    <w:rsid w:val="00722910"/>
    <w:rsid w:val="0072452B"/>
    <w:rsid w:val="00725A61"/>
    <w:rsid w:val="00727C40"/>
    <w:rsid w:val="007336F2"/>
    <w:rsid w:val="00733B12"/>
    <w:rsid w:val="00733BB7"/>
    <w:rsid w:val="00736553"/>
    <w:rsid w:val="0073713E"/>
    <w:rsid w:val="00741504"/>
    <w:rsid w:val="007417D2"/>
    <w:rsid w:val="00743561"/>
    <w:rsid w:val="0074367A"/>
    <w:rsid w:val="00743DD4"/>
    <w:rsid w:val="00743E5B"/>
    <w:rsid w:val="00744013"/>
    <w:rsid w:val="00745F75"/>
    <w:rsid w:val="0074676F"/>
    <w:rsid w:val="007503A1"/>
    <w:rsid w:val="007520A8"/>
    <w:rsid w:val="00752313"/>
    <w:rsid w:val="00752777"/>
    <w:rsid w:val="0075291E"/>
    <w:rsid w:val="00753D24"/>
    <w:rsid w:val="00755DAF"/>
    <w:rsid w:val="00761987"/>
    <w:rsid w:val="007659B0"/>
    <w:rsid w:val="00767FF5"/>
    <w:rsid w:val="00773243"/>
    <w:rsid w:val="007747DD"/>
    <w:rsid w:val="007751E4"/>
    <w:rsid w:val="00775465"/>
    <w:rsid w:val="007761F9"/>
    <w:rsid w:val="00784830"/>
    <w:rsid w:val="0079320F"/>
    <w:rsid w:val="007954F6"/>
    <w:rsid w:val="0079597E"/>
    <w:rsid w:val="0079649B"/>
    <w:rsid w:val="007964BD"/>
    <w:rsid w:val="007B1C62"/>
    <w:rsid w:val="007B3CDB"/>
    <w:rsid w:val="007B5326"/>
    <w:rsid w:val="007B62A3"/>
    <w:rsid w:val="007B6766"/>
    <w:rsid w:val="007C081D"/>
    <w:rsid w:val="007C28F3"/>
    <w:rsid w:val="007C29D6"/>
    <w:rsid w:val="007C306A"/>
    <w:rsid w:val="007C32DD"/>
    <w:rsid w:val="007C38FC"/>
    <w:rsid w:val="007C556E"/>
    <w:rsid w:val="007C5DBF"/>
    <w:rsid w:val="007C7B2F"/>
    <w:rsid w:val="007D28DE"/>
    <w:rsid w:val="007D5E3C"/>
    <w:rsid w:val="007D7647"/>
    <w:rsid w:val="007E4484"/>
    <w:rsid w:val="007E4904"/>
    <w:rsid w:val="007E4C19"/>
    <w:rsid w:val="007F1253"/>
    <w:rsid w:val="007F168C"/>
    <w:rsid w:val="007F1E4E"/>
    <w:rsid w:val="007F21E9"/>
    <w:rsid w:val="007F41DE"/>
    <w:rsid w:val="007F5E9D"/>
    <w:rsid w:val="00801472"/>
    <w:rsid w:val="00801758"/>
    <w:rsid w:val="008058D2"/>
    <w:rsid w:val="00814BD3"/>
    <w:rsid w:val="00821DBB"/>
    <w:rsid w:val="008239D3"/>
    <w:rsid w:val="00825230"/>
    <w:rsid w:val="008304BD"/>
    <w:rsid w:val="0083502A"/>
    <w:rsid w:val="00835A17"/>
    <w:rsid w:val="0084242B"/>
    <w:rsid w:val="008432DE"/>
    <w:rsid w:val="00846694"/>
    <w:rsid w:val="00856313"/>
    <w:rsid w:val="00857CF1"/>
    <w:rsid w:val="0086630B"/>
    <w:rsid w:val="00872642"/>
    <w:rsid w:val="0087535B"/>
    <w:rsid w:val="00877023"/>
    <w:rsid w:val="008800B5"/>
    <w:rsid w:val="008848DE"/>
    <w:rsid w:val="00884DC6"/>
    <w:rsid w:val="0088518B"/>
    <w:rsid w:val="008878A0"/>
    <w:rsid w:val="00893161"/>
    <w:rsid w:val="0089571B"/>
    <w:rsid w:val="00895943"/>
    <w:rsid w:val="008A2AE6"/>
    <w:rsid w:val="008A5CCF"/>
    <w:rsid w:val="008B01C0"/>
    <w:rsid w:val="008B098C"/>
    <w:rsid w:val="008B1B36"/>
    <w:rsid w:val="008B246E"/>
    <w:rsid w:val="008B4173"/>
    <w:rsid w:val="008B42D7"/>
    <w:rsid w:val="008B5082"/>
    <w:rsid w:val="008B6476"/>
    <w:rsid w:val="008B64B9"/>
    <w:rsid w:val="008B7DB2"/>
    <w:rsid w:val="008C7373"/>
    <w:rsid w:val="008C74AC"/>
    <w:rsid w:val="008C7665"/>
    <w:rsid w:val="008D1F5C"/>
    <w:rsid w:val="008D64E0"/>
    <w:rsid w:val="008D694D"/>
    <w:rsid w:val="008D6E68"/>
    <w:rsid w:val="008D761C"/>
    <w:rsid w:val="008E27EC"/>
    <w:rsid w:val="008E31E5"/>
    <w:rsid w:val="008E4F96"/>
    <w:rsid w:val="008E5531"/>
    <w:rsid w:val="008E55B4"/>
    <w:rsid w:val="008E5A47"/>
    <w:rsid w:val="008F389A"/>
    <w:rsid w:val="008F5039"/>
    <w:rsid w:val="0090566E"/>
    <w:rsid w:val="00921923"/>
    <w:rsid w:val="0092340A"/>
    <w:rsid w:val="00923C92"/>
    <w:rsid w:val="0092481B"/>
    <w:rsid w:val="00925A9D"/>
    <w:rsid w:val="00930288"/>
    <w:rsid w:val="0093285E"/>
    <w:rsid w:val="00935E7D"/>
    <w:rsid w:val="0093765B"/>
    <w:rsid w:val="00937AE3"/>
    <w:rsid w:val="00942958"/>
    <w:rsid w:val="00943B6F"/>
    <w:rsid w:val="00943E6A"/>
    <w:rsid w:val="00945712"/>
    <w:rsid w:val="0095349D"/>
    <w:rsid w:val="00953D2D"/>
    <w:rsid w:val="00953E42"/>
    <w:rsid w:val="00954440"/>
    <w:rsid w:val="0095589A"/>
    <w:rsid w:val="00963B1F"/>
    <w:rsid w:val="00965117"/>
    <w:rsid w:val="009718F4"/>
    <w:rsid w:val="00972748"/>
    <w:rsid w:val="00972E45"/>
    <w:rsid w:val="00973274"/>
    <w:rsid w:val="0097501F"/>
    <w:rsid w:val="0098167F"/>
    <w:rsid w:val="0098339B"/>
    <w:rsid w:val="00985050"/>
    <w:rsid w:val="00985CB5"/>
    <w:rsid w:val="009878E6"/>
    <w:rsid w:val="00996680"/>
    <w:rsid w:val="009A0045"/>
    <w:rsid w:val="009A0328"/>
    <w:rsid w:val="009A12E0"/>
    <w:rsid w:val="009A1437"/>
    <w:rsid w:val="009A2451"/>
    <w:rsid w:val="009A359A"/>
    <w:rsid w:val="009A3BC1"/>
    <w:rsid w:val="009A4D7A"/>
    <w:rsid w:val="009A506D"/>
    <w:rsid w:val="009B07B5"/>
    <w:rsid w:val="009B42BB"/>
    <w:rsid w:val="009B45BD"/>
    <w:rsid w:val="009B6798"/>
    <w:rsid w:val="009B7227"/>
    <w:rsid w:val="009C5AEE"/>
    <w:rsid w:val="009C73B5"/>
    <w:rsid w:val="009C7E70"/>
    <w:rsid w:val="009D0F04"/>
    <w:rsid w:val="009D4B10"/>
    <w:rsid w:val="009D673E"/>
    <w:rsid w:val="009E3C0F"/>
    <w:rsid w:val="009E40DE"/>
    <w:rsid w:val="009E54A8"/>
    <w:rsid w:val="009E57D0"/>
    <w:rsid w:val="009E7BE3"/>
    <w:rsid w:val="009E7D26"/>
    <w:rsid w:val="009F3957"/>
    <w:rsid w:val="009F759F"/>
    <w:rsid w:val="00A010BB"/>
    <w:rsid w:val="00A026CE"/>
    <w:rsid w:val="00A03DB3"/>
    <w:rsid w:val="00A04766"/>
    <w:rsid w:val="00A051FF"/>
    <w:rsid w:val="00A055F5"/>
    <w:rsid w:val="00A05816"/>
    <w:rsid w:val="00A06139"/>
    <w:rsid w:val="00A0677D"/>
    <w:rsid w:val="00A06FF4"/>
    <w:rsid w:val="00A11376"/>
    <w:rsid w:val="00A1287A"/>
    <w:rsid w:val="00A13CE8"/>
    <w:rsid w:val="00A16E5C"/>
    <w:rsid w:val="00A21587"/>
    <w:rsid w:val="00A276F1"/>
    <w:rsid w:val="00A32A71"/>
    <w:rsid w:val="00A32E43"/>
    <w:rsid w:val="00A3354F"/>
    <w:rsid w:val="00A335FF"/>
    <w:rsid w:val="00A457FB"/>
    <w:rsid w:val="00A45FF2"/>
    <w:rsid w:val="00A51546"/>
    <w:rsid w:val="00A529CD"/>
    <w:rsid w:val="00A547BB"/>
    <w:rsid w:val="00A55863"/>
    <w:rsid w:val="00A60283"/>
    <w:rsid w:val="00A61666"/>
    <w:rsid w:val="00A62845"/>
    <w:rsid w:val="00A62EEC"/>
    <w:rsid w:val="00A644E2"/>
    <w:rsid w:val="00A70F54"/>
    <w:rsid w:val="00A710DB"/>
    <w:rsid w:val="00A713DF"/>
    <w:rsid w:val="00A7161F"/>
    <w:rsid w:val="00A741DC"/>
    <w:rsid w:val="00A75616"/>
    <w:rsid w:val="00A812C9"/>
    <w:rsid w:val="00A847EE"/>
    <w:rsid w:val="00A8778B"/>
    <w:rsid w:val="00A912EE"/>
    <w:rsid w:val="00A91748"/>
    <w:rsid w:val="00A933E8"/>
    <w:rsid w:val="00A93808"/>
    <w:rsid w:val="00A94538"/>
    <w:rsid w:val="00AA25B8"/>
    <w:rsid w:val="00AA3998"/>
    <w:rsid w:val="00AA405D"/>
    <w:rsid w:val="00AA4871"/>
    <w:rsid w:val="00AA63F0"/>
    <w:rsid w:val="00AB3889"/>
    <w:rsid w:val="00AC3603"/>
    <w:rsid w:val="00AC4212"/>
    <w:rsid w:val="00AC54EB"/>
    <w:rsid w:val="00AC5818"/>
    <w:rsid w:val="00AC6C6E"/>
    <w:rsid w:val="00AD2CA4"/>
    <w:rsid w:val="00AD4940"/>
    <w:rsid w:val="00AD61CF"/>
    <w:rsid w:val="00AD62B8"/>
    <w:rsid w:val="00AD6A42"/>
    <w:rsid w:val="00AE1BFF"/>
    <w:rsid w:val="00AE22ED"/>
    <w:rsid w:val="00AE3073"/>
    <w:rsid w:val="00AE3CBA"/>
    <w:rsid w:val="00AE5E37"/>
    <w:rsid w:val="00AE6709"/>
    <w:rsid w:val="00AE674A"/>
    <w:rsid w:val="00AF4155"/>
    <w:rsid w:val="00AF62F5"/>
    <w:rsid w:val="00B01EF8"/>
    <w:rsid w:val="00B05AD6"/>
    <w:rsid w:val="00B0691E"/>
    <w:rsid w:val="00B1386E"/>
    <w:rsid w:val="00B13AE1"/>
    <w:rsid w:val="00B14309"/>
    <w:rsid w:val="00B14EF1"/>
    <w:rsid w:val="00B15A00"/>
    <w:rsid w:val="00B16EC6"/>
    <w:rsid w:val="00B214CE"/>
    <w:rsid w:val="00B220F0"/>
    <w:rsid w:val="00B23E5C"/>
    <w:rsid w:val="00B24672"/>
    <w:rsid w:val="00B24EEC"/>
    <w:rsid w:val="00B2785E"/>
    <w:rsid w:val="00B3117C"/>
    <w:rsid w:val="00B37275"/>
    <w:rsid w:val="00B416B3"/>
    <w:rsid w:val="00B4336F"/>
    <w:rsid w:val="00B449BC"/>
    <w:rsid w:val="00B451D7"/>
    <w:rsid w:val="00B45901"/>
    <w:rsid w:val="00B46C2C"/>
    <w:rsid w:val="00B47D88"/>
    <w:rsid w:val="00B51348"/>
    <w:rsid w:val="00B5541F"/>
    <w:rsid w:val="00B6115D"/>
    <w:rsid w:val="00B62A43"/>
    <w:rsid w:val="00B71076"/>
    <w:rsid w:val="00B710BD"/>
    <w:rsid w:val="00B718F1"/>
    <w:rsid w:val="00B72F1E"/>
    <w:rsid w:val="00B73177"/>
    <w:rsid w:val="00B82CF8"/>
    <w:rsid w:val="00B83D5A"/>
    <w:rsid w:val="00B86CF7"/>
    <w:rsid w:val="00B90201"/>
    <w:rsid w:val="00B92977"/>
    <w:rsid w:val="00B92A20"/>
    <w:rsid w:val="00B961FF"/>
    <w:rsid w:val="00B96552"/>
    <w:rsid w:val="00BA102D"/>
    <w:rsid w:val="00BA4CD0"/>
    <w:rsid w:val="00BA5BAF"/>
    <w:rsid w:val="00BB0AE4"/>
    <w:rsid w:val="00BB35E7"/>
    <w:rsid w:val="00BB38E9"/>
    <w:rsid w:val="00BB5797"/>
    <w:rsid w:val="00BB5A3C"/>
    <w:rsid w:val="00BC1722"/>
    <w:rsid w:val="00BC37D8"/>
    <w:rsid w:val="00BC608A"/>
    <w:rsid w:val="00BC62F6"/>
    <w:rsid w:val="00BD0C95"/>
    <w:rsid w:val="00BD1F87"/>
    <w:rsid w:val="00BD3BB9"/>
    <w:rsid w:val="00BE1CC9"/>
    <w:rsid w:val="00BE242D"/>
    <w:rsid w:val="00BE37ED"/>
    <w:rsid w:val="00BE3D8C"/>
    <w:rsid w:val="00BE584F"/>
    <w:rsid w:val="00BF1960"/>
    <w:rsid w:val="00BF2D9D"/>
    <w:rsid w:val="00BF3CAB"/>
    <w:rsid w:val="00BF4CEF"/>
    <w:rsid w:val="00BF4EAE"/>
    <w:rsid w:val="00BF5C89"/>
    <w:rsid w:val="00BF619B"/>
    <w:rsid w:val="00C01401"/>
    <w:rsid w:val="00C02EC7"/>
    <w:rsid w:val="00C0725F"/>
    <w:rsid w:val="00C1256C"/>
    <w:rsid w:val="00C144B3"/>
    <w:rsid w:val="00C1470F"/>
    <w:rsid w:val="00C152F3"/>
    <w:rsid w:val="00C177F7"/>
    <w:rsid w:val="00C179D8"/>
    <w:rsid w:val="00C22B07"/>
    <w:rsid w:val="00C24A1A"/>
    <w:rsid w:val="00C24FEF"/>
    <w:rsid w:val="00C322D4"/>
    <w:rsid w:val="00C430FB"/>
    <w:rsid w:val="00C44E14"/>
    <w:rsid w:val="00C528F8"/>
    <w:rsid w:val="00C5680F"/>
    <w:rsid w:val="00C57947"/>
    <w:rsid w:val="00C60EE3"/>
    <w:rsid w:val="00C610FD"/>
    <w:rsid w:val="00C61512"/>
    <w:rsid w:val="00C6303A"/>
    <w:rsid w:val="00C65623"/>
    <w:rsid w:val="00C66081"/>
    <w:rsid w:val="00C73EF9"/>
    <w:rsid w:val="00C75430"/>
    <w:rsid w:val="00C75EF3"/>
    <w:rsid w:val="00C76044"/>
    <w:rsid w:val="00C76756"/>
    <w:rsid w:val="00C80B00"/>
    <w:rsid w:val="00C81108"/>
    <w:rsid w:val="00C840A2"/>
    <w:rsid w:val="00C876F5"/>
    <w:rsid w:val="00C9012A"/>
    <w:rsid w:val="00C902D8"/>
    <w:rsid w:val="00C9163C"/>
    <w:rsid w:val="00C91879"/>
    <w:rsid w:val="00C92232"/>
    <w:rsid w:val="00C92E84"/>
    <w:rsid w:val="00C93F2E"/>
    <w:rsid w:val="00C9699E"/>
    <w:rsid w:val="00C9752A"/>
    <w:rsid w:val="00CA0484"/>
    <w:rsid w:val="00CA3BB7"/>
    <w:rsid w:val="00CA5E21"/>
    <w:rsid w:val="00CA7488"/>
    <w:rsid w:val="00CB02FC"/>
    <w:rsid w:val="00CB0DD6"/>
    <w:rsid w:val="00CB747D"/>
    <w:rsid w:val="00CC15DD"/>
    <w:rsid w:val="00CC43DB"/>
    <w:rsid w:val="00CC4777"/>
    <w:rsid w:val="00CC66CC"/>
    <w:rsid w:val="00CC757A"/>
    <w:rsid w:val="00CC7BF2"/>
    <w:rsid w:val="00CD16E3"/>
    <w:rsid w:val="00CD27E3"/>
    <w:rsid w:val="00CD2F9B"/>
    <w:rsid w:val="00CE00FE"/>
    <w:rsid w:val="00CE099A"/>
    <w:rsid w:val="00CE13BF"/>
    <w:rsid w:val="00CE42E1"/>
    <w:rsid w:val="00CE4601"/>
    <w:rsid w:val="00CE4767"/>
    <w:rsid w:val="00CE507A"/>
    <w:rsid w:val="00CE7EC2"/>
    <w:rsid w:val="00CF00A4"/>
    <w:rsid w:val="00CF084B"/>
    <w:rsid w:val="00CF3A7A"/>
    <w:rsid w:val="00CF4066"/>
    <w:rsid w:val="00D004A1"/>
    <w:rsid w:val="00D008FD"/>
    <w:rsid w:val="00D02135"/>
    <w:rsid w:val="00D068F0"/>
    <w:rsid w:val="00D06995"/>
    <w:rsid w:val="00D06DB1"/>
    <w:rsid w:val="00D06ED6"/>
    <w:rsid w:val="00D10982"/>
    <w:rsid w:val="00D117CF"/>
    <w:rsid w:val="00D12616"/>
    <w:rsid w:val="00D16CE8"/>
    <w:rsid w:val="00D16F11"/>
    <w:rsid w:val="00D21ED6"/>
    <w:rsid w:val="00D2379F"/>
    <w:rsid w:val="00D24000"/>
    <w:rsid w:val="00D27BAE"/>
    <w:rsid w:val="00D309A0"/>
    <w:rsid w:val="00D312D4"/>
    <w:rsid w:val="00D32B1B"/>
    <w:rsid w:val="00D33FCF"/>
    <w:rsid w:val="00D341F9"/>
    <w:rsid w:val="00D3557A"/>
    <w:rsid w:val="00D37D5C"/>
    <w:rsid w:val="00D4129B"/>
    <w:rsid w:val="00D44430"/>
    <w:rsid w:val="00D50C22"/>
    <w:rsid w:val="00D50E57"/>
    <w:rsid w:val="00D51209"/>
    <w:rsid w:val="00D52C62"/>
    <w:rsid w:val="00D52CDF"/>
    <w:rsid w:val="00D55ADE"/>
    <w:rsid w:val="00D55EC6"/>
    <w:rsid w:val="00D6102E"/>
    <w:rsid w:val="00D616E3"/>
    <w:rsid w:val="00D63A3A"/>
    <w:rsid w:val="00D64CE2"/>
    <w:rsid w:val="00D6509A"/>
    <w:rsid w:val="00D6533F"/>
    <w:rsid w:val="00D6544C"/>
    <w:rsid w:val="00D6586D"/>
    <w:rsid w:val="00D74933"/>
    <w:rsid w:val="00D77D7B"/>
    <w:rsid w:val="00D81403"/>
    <w:rsid w:val="00D83499"/>
    <w:rsid w:val="00D8500B"/>
    <w:rsid w:val="00D85BAF"/>
    <w:rsid w:val="00D85C62"/>
    <w:rsid w:val="00D9127E"/>
    <w:rsid w:val="00D92158"/>
    <w:rsid w:val="00D929B1"/>
    <w:rsid w:val="00D932BF"/>
    <w:rsid w:val="00D93D44"/>
    <w:rsid w:val="00D93ED7"/>
    <w:rsid w:val="00D94A1F"/>
    <w:rsid w:val="00D96D76"/>
    <w:rsid w:val="00DA0D38"/>
    <w:rsid w:val="00DA4B7C"/>
    <w:rsid w:val="00DA6CF8"/>
    <w:rsid w:val="00DB15A7"/>
    <w:rsid w:val="00DB497C"/>
    <w:rsid w:val="00DB4CC2"/>
    <w:rsid w:val="00DC22A4"/>
    <w:rsid w:val="00DC713F"/>
    <w:rsid w:val="00DD02AF"/>
    <w:rsid w:val="00DD0E4E"/>
    <w:rsid w:val="00DD15A4"/>
    <w:rsid w:val="00DD4960"/>
    <w:rsid w:val="00DD5A97"/>
    <w:rsid w:val="00DD64EB"/>
    <w:rsid w:val="00DE1278"/>
    <w:rsid w:val="00DE1D68"/>
    <w:rsid w:val="00DE1EAF"/>
    <w:rsid w:val="00DE38CB"/>
    <w:rsid w:val="00DE4ED5"/>
    <w:rsid w:val="00DE6A1C"/>
    <w:rsid w:val="00DE6B23"/>
    <w:rsid w:val="00DE6D08"/>
    <w:rsid w:val="00DF046D"/>
    <w:rsid w:val="00DF5025"/>
    <w:rsid w:val="00E11CB6"/>
    <w:rsid w:val="00E11D36"/>
    <w:rsid w:val="00E12A57"/>
    <w:rsid w:val="00E134A3"/>
    <w:rsid w:val="00E13F4E"/>
    <w:rsid w:val="00E20825"/>
    <w:rsid w:val="00E23F01"/>
    <w:rsid w:val="00E31EE4"/>
    <w:rsid w:val="00E33D08"/>
    <w:rsid w:val="00E341DC"/>
    <w:rsid w:val="00E34892"/>
    <w:rsid w:val="00E4168C"/>
    <w:rsid w:val="00E42EB7"/>
    <w:rsid w:val="00E435CB"/>
    <w:rsid w:val="00E46434"/>
    <w:rsid w:val="00E478D5"/>
    <w:rsid w:val="00E47BC1"/>
    <w:rsid w:val="00E5009C"/>
    <w:rsid w:val="00E51CF1"/>
    <w:rsid w:val="00E55AD9"/>
    <w:rsid w:val="00E61A79"/>
    <w:rsid w:val="00E66191"/>
    <w:rsid w:val="00E66C4A"/>
    <w:rsid w:val="00E672F7"/>
    <w:rsid w:val="00E67A36"/>
    <w:rsid w:val="00E70776"/>
    <w:rsid w:val="00E73CC6"/>
    <w:rsid w:val="00E73F51"/>
    <w:rsid w:val="00E76036"/>
    <w:rsid w:val="00E77A0F"/>
    <w:rsid w:val="00E8056A"/>
    <w:rsid w:val="00E80671"/>
    <w:rsid w:val="00E82077"/>
    <w:rsid w:val="00E83EA9"/>
    <w:rsid w:val="00E86F72"/>
    <w:rsid w:val="00E87591"/>
    <w:rsid w:val="00E9216C"/>
    <w:rsid w:val="00E92DA4"/>
    <w:rsid w:val="00E93757"/>
    <w:rsid w:val="00E94372"/>
    <w:rsid w:val="00E953A2"/>
    <w:rsid w:val="00E965AA"/>
    <w:rsid w:val="00E96E75"/>
    <w:rsid w:val="00EA16D3"/>
    <w:rsid w:val="00EA38C4"/>
    <w:rsid w:val="00EB7D60"/>
    <w:rsid w:val="00EC0737"/>
    <w:rsid w:val="00EC0BB2"/>
    <w:rsid w:val="00EC1F9C"/>
    <w:rsid w:val="00EC32EE"/>
    <w:rsid w:val="00EC52AA"/>
    <w:rsid w:val="00ED28DF"/>
    <w:rsid w:val="00ED3272"/>
    <w:rsid w:val="00ED4232"/>
    <w:rsid w:val="00ED6C62"/>
    <w:rsid w:val="00ED7975"/>
    <w:rsid w:val="00EE1725"/>
    <w:rsid w:val="00EE35BD"/>
    <w:rsid w:val="00EE3D77"/>
    <w:rsid w:val="00EE4CB7"/>
    <w:rsid w:val="00EF081C"/>
    <w:rsid w:val="00EF2ED0"/>
    <w:rsid w:val="00EF3F3B"/>
    <w:rsid w:val="00EF697D"/>
    <w:rsid w:val="00EF7B6B"/>
    <w:rsid w:val="00F02A22"/>
    <w:rsid w:val="00F0370B"/>
    <w:rsid w:val="00F10267"/>
    <w:rsid w:val="00F11012"/>
    <w:rsid w:val="00F13F86"/>
    <w:rsid w:val="00F1697D"/>
    <w:rsid w:val="00F247C8"/>
    <w:rsid w:val="00F360FE"/>
    <w:rsid w:val="00F37191"/>
    <w:rsid w:val="00F40F94"/>
    <w:rsid w:val="00F421A6"/>
    <w:rsid w:val="00F422EA"/>
    <w:rsid w:val="00F4306A"/>
    <w:rsid w:val="00F43261"/>
    <w:rsid w:val="00F44867"/>
    <w:rsid w:val="00F47257"/>
    <w:rsid w:val="00F504AD"/>
    <w:rsid w:val="00F51714"/>
    <w:rsid w:val="00F559F9"/>
    <w:rsid w:val="00F55BD8"/>
    <w:rsid w:val="00F56103"/>
    <w:rsid w:val="00F56C8F"/>
    <w:rsid w:val="00F5750F"/>
    <w:rsid w:val="00F61B82"/>
    <w:rsid w:val="00F64C6A"/>
    <w:rsid w:val="00F64F59"/>
    <w:rsid w:val="00F65039"/>
    <w:rsid w:val="00F6516B"/>
    <w:rsid w:val="00F66BA9"/>
    <w:rsid w:val="00F7005C"/>
    <w:rsid w:val="00F716AD"/>
    <w:rsid w:val="00F82BA4"/>
    <w:rsid w:val="00F831B2"/>
    <w:rsid w:val="00F85565"/>
    <w:rsid w:val="00F8626E"/>
    <w:rsid w:val="00F947FD"/>
    <w:rsid w:val="00F9483E"/>
    <w:rsid w:val="00F95D3E"/>
    <w:rsid w:val="00F95DCE"/>
    <w:rsid w:val="00F96B62"/>
    <w:rsid w:val="00F978FD"/>
    <w:rsid w:val="00FB21D2"/>
    <w:rsid w:val="00FB334C"/>
    <w:rsid w:val="00FB346B"/>
    <w:rsid w:val="00FB4B77"/>
    <w:rsid w:val="00FB4CB6"/>
    <w:rsid w:val="00FC1548"/>
    <w:rsid w:val="00FC27D1"/>
    <w:rsid w:val="00FC285C"/>
    <w:rsid w:val="00FC5384"/>
    <w:rsid w:val="00FC618B"/>
    <w:rsid w:val="00FD06B4"/>
    <w:rsid w:val="00FD236D"/>
    <w:rsid w:val="00FD2FB3"/>
    <w:rsid w:val="00FD5411"/>
    <w:rsid w:val="00FD616A"/>
    <w:rsid w:val="00FE1506"/>
    <w:rsid w:val="00FE3FCB"/>
    <w:rsid w:val="00FE4223"/>
    <w:rsid w:val="00FF43BB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540A8"/>
  <w15:docId w15:val="{547938B5-7662-E84F-B4AD-945A5C5B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i/>
      <w:i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pPr>
      <w:spacing w:before="120" w:after="120"/>
      <w:jc w:val="both"/>
    </w:pPr>
    <w:rPr>
      <w:lang w:val="x-none" w:eastAsia="x-none"/>
    </w:rPr>
  </w:style>
  <w:style w:type="paragraph" w:customStyle="1" w:styleId="RIENTRO">
    <w:name w:val="RIENTRO"/>
    <w:basedOn w:val="Normale"/>
    <w:pPr>
      <w:spacing w:before="120" w:after="120"/>
      <w:ind w:left="284" w:hanging="284"/>
      <w:jc w:val="both"/>
    </w:pPr>
    <w:rPr>
      <w:szCs w:val="20"/>
    </w:rPr>
  </w:style>
  <w:style w:type="table" w:styleId="Grigliatabella">
    <w:name w:val="Table Grid"/>
    <w:basedOn w:val="Tabellanormale"/>
    <w:uiPriority w:val="39"/>
    <w:rsid w:val="008119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ltesto3Carattere">
    <w:name w:val="Corpo del testo 3 Carattere"/>
    <w:link w:val="Corpodeltesto3"/>
    <w:semiHidden/>
    <w:rsid w:val="008920FF"/>
    <w:rPr>
      <w:sz w:val="24"/>
      <w:szCs w:val="24"/>
    </w:rPr>
  </w:style>
  <w:style w:type="character" w:styleId="Collegamentoipertestuale">
    <w:name w:val="Hyperlink"/>
    <w:uiPriority w:val="99"/>
    <w:unhideWhenUsed/>
    <w:rsid w:val="005A013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219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sid w:val="00C32192"/>
    <w:rPr>
      <w:sz w:val="24"/>
      <w:szCs w:val="24"/>
    </w:rPr>
  </w:style>
  <w:style w:type="paragraph" w:customStyle="1" w:styleId="TABELLA">
    <w:name w:val="TABELLA"/>
    <w:basedOn w:val="Normale"/>
    <w:rsid w:val="0017071E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02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960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F740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F7407"/>
    <w:rPr>
      <w:sz w:val="24"/>
      <w:szCs w:val="24"/>
    </w:rPr>
  </w:style>
  <w:style w:type="character" w:customStyle="1" w:styleId="Titolo1Carattere">
    <w:name w:val="Titolo 1 Carattere"/>
    <w:link w:val="Titolo1"/>
    <w:rsid w:val="00DF2407"/>
    <w:rPr>
      <w:i/>
      <w:iCs/>
      <w:szCs w:val="24"/>
    </w:rPr>
  </w:style>
  <w:style w:type="paragraph" w:styleId="NormaleWeb">
    <w:name w:val="Normal (Web)"/>
    <w:basedOn w:val="Normale"/>
    <w:uiPriority w:val="99"/>
    <w:unhideWhenUsed/>
    <w:rsid w:val="00222FBA"/>
    <w:pPr>
      <w:spacing w:before="100" w:beforeAutospacing="1" w:after="100" w:afterAutospacing="1"/>
    </w:pPr>
    <w:rPr>
      <w:rFonts w:eastAsia="Calibri"/>
    </w:rPr>
  </w:style>
  <w:style w:type="paragraph" w:customStyle="1" w:styleId="Elencoacolori-Colore21">
    <w:name w:val="Elenco a colori - Colore 21"/>
    <w:uiPriority w:val="1"/>
    <w:qFormat/>
    <w:rsid w:val="00E672F7"/>
    <w:rPr>
      <w:rFonts w:ascii="Calibri" w:eastAsia="Calibri" w:hAnsi="Calibri"/>
      <w:sz w:val="22"/>
      <w:szCs w:val="22"/>
      <w:lang w:eastAsia="en-US"/>
    </w:rPr>
  </w:style>
  <w:style w:type="paragraph" w:customStyle="1" w:styleId="Elencomedio2-Colore41">
    <w:name w:val="Elenco medio 2 - Colore 41"/>
    <w:basedOn w:val="Normale"/>
    <w:uiPriority w:val="34"/>
    <w:qFormat/>
    <w:rsid w:val="00DE38C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440144"/>
  </w:style>
  <w:style w:type="paragraph" w:customStyle="1" w:styleId="Default">
    <w:name w:val="Default"/>
    <w:rsid w:val="003F21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e"/>
    <w:rsid w:val="001E5B1A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E5B1A"/>
  </w:style>
  <w:style w:type="character" w:styleId="Enfasigrassetto">
    <w:name w:val="Strong"/>
    <w:uiPriority w:val="22"/>
    <w:qFormat/>
    <w:rsid w:val="004A2027"/>
    <w:rPr>
      <w:b/>
      <w:bCs/>
    </w:rPr>
  </w:style>
  <w:style w:type="character" w:styleId="Rimandonotaapidipagina">
    <w:name w:val="footnote reference"/>
    <w:semiHidden/>
    <w:rsid w:val="007C38FC"/>
    <w:rPr>
      <w:vertAlign w:val="superscript"/>
    </w:rPr>
  </w:style>
  <w:style w:type="paragraph" w:customStyle="1" w:styleId="Accredia-TESTO">
    <w:name w:val="Accredia-TESTO"/>
    <w:basedOn w:val="s3"/>
    <w:qFormat/>
    <w:rsid w:val="00AA405D"/>
    <w:pPr>
      <w:suppressAutoHyphens/>
      <w:spacing w:before="0" w:beforeAutospacing="0" w:after="180" w:afterAutospacing="0" w:line="260" w:lineRule="exact"/>
      <w:jc w:val="both"/>
    </w:pPr>
    <w:rPr>
      <w:rFonts w:ascii="Verdana" w:eastAsia="Times New Roman" w:hAnsi="Verdana" w:cs="Arial"/>
      <w:noProof/>
      <w:spacing w:val="10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1722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172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5F9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49BC"/>
    <w:pPr>
      <w:ind w:left="720"/>
      <w:contextualSpacing/>
    </w:pPr>
  </w:style>
  <w:style w:type="paragraph" w:customStyle="1" w:styleId="paragraph">
    <w:name w:val="paragraph"/>
    <w:basedOn w:val="Normale"/>
    <w:rsid w:val="00D85C62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normaltextrun">
    <w:name w:val="normaltextrun"/>
    <w:basedOn w:val="Carpredefinitoparagrafo"/>
    <w:rsid w:val="00D85C62"/>
  </w:style>
  <w:style w:type="character" w:customStyle="1" w:styleId="eop">
    <w:name w:val="eop"/>
    <w:basedOn w:val="Carpredefinitoparagrafo"/>
    <w:rsid w:val="00D85C62"/>
  </w:style>
  <w:style w:type="paragraph" w:customStyle="1" w:styleId="xaccredia-testo">
    <w:name w:val="x_accredia-testo"/>
    <w:basedOn w:val="Normale"/>
    <w:rsid w:val="00A644E2"/>
    <w:pPr>
      <w:spacing w:before="100" w:beforeAutospacing="1" w:after="100" w:afterAutospacing="1"/>
    </w:pPr>
    <w:rPr>
      <w:sz w:val="20"/>
      <w:szCs w:val="20"/>
    </w:rPr>
  </w:style>
  <w:style w:type="paragraph" w:customStyle="1" w:styleId="xmsonormal">
    <w:name w:val="x_msonormal"/>
    <w:basedOn w:val="Normale"/>
    <w:rsid w:val="00A644E2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bio.rovelli@axel-comm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.nizzero@accredia.i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zzettaufficiale.it/atto/serie_generale/caricaDettaglioAtto/originario?atto.dataPubblicazioneGazzetta=2022-07-01&amp;atto.codiceRedazionale=22A03808&amp;elenco30giorni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8c19d-d2f2-41c7-9ac4-ff9bc13196bc" xsi:nil="true"/>
    <lcf76f155ced4ddcb4097134ff3c332f xmlns="b7e798f5-64e6-46f1-b045-f46df10c1c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9D54D4DDB2542BF04BEEC546C1524" ma:contentTypeVersion="16" ma:contentTypeDescription="Creare un nuovo documento." ma:contentTypeScope="" ma:versionID="6f1879b66d27e04c0254c5006ec93532">
  <xsd:schema xmlns:xsd="http://www.w3.org/2001/XMLSchema" xmlns:xs="http://www.w3.org/2001/XMLSchema" xmlns:p="http://schemas.microsoft.com/office/2006/metadata/properties" xmlns:ns2="b7e798f5-64e6-46f1-b045-f46df10c1ca4" xmlns:ns3="90a8c19d-d2f2-41c7-9ac4-ff9bc13196bc" targetNamespace="http://schemas.microsoft.com/office/2006/metadata/properties" ma:root="true" ma:fieldsID="d187ce4d28d8f6033dd271b9d8e84954" ns2:_="" ns3:_="">
    <xsd:import namespace="b7e798f5-64e6-46f1-b045-f46df10c1ca4"/>
    <xsd:import namespace="90a8c19d-d2f2-41c7-9ac4-ff9bc1319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98f5-64e6-46f1-b045-f46df10c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2a8c577-11cc-4f0f-9f36-b00f6ce65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c19d-d2f2-41c7-9ac4-ff9bc1319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e5fe8-9fe7-4b8c-9227-422692604725}" ma:internalName="TaxCatchAll" ma:showField="CatchAllData" ma:web="90a8c19d-d2f2-41c7-9ac4-ff9bc1319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C7C9-2035-4DE4-88D8-531592044F93}">
  <ds:schemaRefs>
    <ds:schemaRef ds:uri="http://schemas.microsoft.com/office/2006/metadata/properties"/>
    <ds:schemaRef ds:uri="http://schemas.microsoft.com/office/infopath/2007/PartnerControls"/>
    <ds:schemaRef ds:uri="90a8c19d-d2f2-41c7-9ac4-ff9bc13196bc"/>
    <ds:schemaRef ds:uri="b7e798f5-64e6-46f1-b045-f46df10c1ca4"/>
  </ds:schemaRefs>
</ds:datastoreItem>
</file>

<file path=customXml/itemProps2.xml><?xml version="1.0" encoding="utf-8"?>
<ds:datastoreItem xmlns:ds="http://schemas.openxmlformats.org/officeDocument/2006/customXml" ds:itemID="{D713ECED-5B89-44FB-9F47-B52F6FD7D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C558E-4CA9-4004-95F1-7757BC23F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798f5-64e6-46f1-b045-f46df10c1ca4"/>
    <ds:schemaRef ds:uri="90a8c19d-d2f2-41c7-9ac4-ff9bc1319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01739-C253-BF48-9626-F14EF01A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8774</CharactersWithSpaces>
  <SharedDoc>false</SharedDoc>
  <HyperlinkBase/>
  <HLinks>
    <vt:vector size="18" baseType="variant">
      <vt:variant>
        <vt:i4>4849790</vt:i4>
      </vt:variant>
      <vt:variant>
        <vt:i4>6</vt:i4>
      </vt:variant>
      <vt:variant>
        <vt:i4>0</vt:i4>
      </vt:variant>
      <vt:variant>
        <vt:i4>5</vt:i4>
      </vt:variant>
      <vt:variant>
        <vt:lpwstr>mailto:fabio.rovelli@axel-comm.it</vt:lpwstr>
      </vt:variant>
      <vt:variant>
        <vt:lpwstr/>
      </vt:variant>
      <vt:variant>
        <vt:i4>5111864</vt:i4>
      </vt:variant>
      <vt:variant>
        <vt:i4>3</vt:i4>
      </vt:variant>
      <vt:variant>
        <vt:i4>0</vt:i4>
      </vt:variant>
      <vt:variant>
        <vt:i4>5</vt:i4>
      </vt:variant>
      <vt:variant>
        <vt:lpwstr>mailto:f.nizzero@accredia.it</vt:lpwstr>
      </vt:variant>
      <vt:variant>
        <vt:lpwstr/>
      </vt:variant>
      <vt:variant>
        <vt:i4>6881313</vt:i4>
      </vt:variant>
      <vt:variant>
        <vt:i4>0</vt:i4>
      </vt:variant>
      <vt:variant>
        <vt:i4>0</vt:i4>
      </vt:variant>
      <vt:variant>
        <vt:i4>5</vt:i4>
      </vt:variant>
      <vt:variant>
        <vt:lpwstr>http://www.european-accreditation.org/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Lofano Domenico</dc:creator>
  <cp:keywords/>
  <dc:description/>
  <cp:lastModifiedBy>Marica Bianchi</cp:lastModifiedBy>
  <cp:revision>7</cp:revision>
  <cp:lastPrinted>2023-01-26T10:25:00Z</cp:lastPrinted>
  <dcterms:created xsi:type="dcterms:W3CDTF">2023-05-09T16:20:00Z</dcterms:created>
  <dcterms:modified xsi:type="dcterms:W3CDTF">2023-05-16T15:52:00Z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0x0101008109D54D4DDB2542BF04BEEC546C1524</vt:lpwstr>
  </property>
  <property fmtid="{D5CDD505-2E9C-101B-9397-08002B2CF9AE}" pid="3" name="MediaServiceImageTags">
    <vt:lpwstr/>
  </property>
</Properties>
</file>