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90CB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  <w:bookmarkStart w:id="0" w:name="_GoBack"/>
      <w:bookmarkEnd w:id="0"/>
    </w:p>
    <w:tbl>
      <w:tblPr>
        <w:tblStyle w:val="Grigliatabella"/>
        <w:tblpPr w:topFromText="567" w:bottomFromText="425" w:vertAnchor="page" w:horzAnchor="margin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65039" w:rsidRPr="00344D37" w14:paraId="21C391C8" w14:textId="77777777" w:rsidTr="00F65039">
        <w:trPr>
          <w:trHeight w:val="283"/>
        </w:trPr>
        <w:tc>
          <w:tcPr>
            <w:tcW w:w="2835" w:type="dxa"/>
            <w:tcBorders>
              <w:bottom w:val="single" w:sz="24" w:space="0" w:color="FFC000"/>
            </w:tcBorders>
            <w:tcFitText/>
            <w:vAlign w:val="center"/>
          </w:tcPr>
          <w:p w14:paraId="4A207BCF" w14:textId="77777777" w:rsidR="00F65039" w:rsidRPr="00344D37" w:rsidRDefault="00F65039" w:rsidP="00344D37">
            <w:pPr>
              <w:spacing w:line="260" w:lineRule="exact"/>
              <w:rPr>
                <w:rFonts w:ascii="Verdana" w:hAnsi="Verdana"/>
              </w:rPr>
            </w:pPr>
            <w:r w:rsidRPr="007E4C19"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  <w:t>COMUNICATO STAMP</w:t>
            </w:r>
            <w:r w:rsidRPr="007E4C19">
              <w:rPr>
                <w:rFonts w:ascii="Verdana" w:hAnsi="Verdana"/>
                <w:b/>
                <w:color w:val="636462"/>
                <w:spacing w:val="12"/>
                <w:sz w:val="16"/>
                <w:szCs w:val="16"/>
              </w:rPr>
              <w:t>A</w:t>
            </w:r>
          </w:p>
        </w:tc>
        <w:tc>
          <w:tcPr>
            <w:tcW w:w="6803" w:type="dxa"/>
            <w:tcMar>
              <w:left w:w="170" w:type="dxa"/>
            </w:tcMar>
            <w:vAlign w:val="center"/>
          </w:tcPr>
          <w:p w14:paraId="5B3A99A7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257342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C5684A" w14:textId="29849685" w:rsidR="007E4C19" w:rsidRDefault="007E4C19" w:rsidP="007E4C19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7E4C19">
        <w:rPr>
          <w:rFonts w:ascii="Verdana" w:hAnsi="Verdana" w:cs="Arial"/>
          <w:b/>
          <w:bCs/>
          <w:spacing w:val="10"/>
          <w:sz w:val="20"/>
          <w:szCs w:val="22"/>
        </w:rPr>
        <w:t>ACCREDIA, CONFORMA, UNI e ITACA avviano un nuovo corso di formazione gratuito rivolto al personale e ai RUP delle oltre 30mila stazioni appaltanti tra centrali di committenza di ambito nazionale, regionale e territoriale in materia di certificazioni accreditate.</w:t>
      </w:r>
    </w:p>
    <w:p w14:paraId="5E8F2A6E" w14:textId="355BAE0E" w:rsidR="007E4C19" w:rsidRDefault="007E4C19" w:rsidP="007E4C19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</w:p>
    <w:p w14:paraId="19311EBD" w14:textId="73797B30" w:rsidR="007E4C19" w:rsidRPr="007E4C19" w:rsidRDefault="007E4C19" w:rsidP="007E4C19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7E4C19">
        <w:rPr>
          <w:rFonts w:ascii="Verdana" w:hAnsi="Verdana" w:cs="Arial"/>
          <w:b/>
          <w:bCs/>
          <w:spacing w:val="10"/>
          <w:sz w:val="20"/>
          <w:szCs w:val="22"/>
        </w:rPr>
        <w:t>L’obiettivo è rafforzare le competenze della PA, anche alla luce degli obiettivi del PNRR.</w:t>
      </w:r>
    </w:p>
    <w:p w14:paraId="02CB38A8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49492F11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0CD89337" w14:textId="77777777" w:rsidR="00515F57" w:rsidRPr="00515F57" w:rsidRDefault="007E4C19" w:rsidP="00515F57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>
        <w:rPr>
          <w:rFonts w:ascii="Verdana" w:hAnsi="Verdana" w:cs="Arial"/>
          <w:i/>
          <w:iCs/>
          <w:noProof/>
          <w:spacing w:val="10"/>
          <w:sz w:val="18"/>
          <w:szCs w:val="18"/>
        </w:rPr>
        <w:t>Roma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, 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1</w:t>
      </w:r>
      <w:r>
        <w:rPr>
          <w:rFonts w:ascii="Verdana" w:hAnsi="Verdana" w:cs="Arial"/>
          <w:i/>
          <w:iCs/>
          <w:noProof/>
          <w:spacing w:val="10"/>
          <w:sz w:val="18"/>
          <w:szCs w:val="18"/>
        </w:rPr>
        <w:t>6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</w:t>
      </w:r>
      <w:r>
        <w:rPr>
          <w:rFonts w:ascii="Verdana" w:hAnsi="Verdana" w:cs="Arial"/>
          <w:i/>
          <w:iCs/>
          <w:noProof/>
          <w:spacing w:val="10"/>
          <w:sz w:val="18"/>
          <w:szCs w:val="18"/>
        </w:rPr>
        <w:t>marzo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20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2</w:t>
      </w:r>
      <w:r>
        <w:rPr>
          <w:rFonts w:ascii="Verdana" w:hAnsi="Verdana" w:cs="Arial"/>
          <w:i/>
          <w:iCs/>
          <w:noProof/>
          <w:spacing w:val="10"/>
          <w:sz w:val="18"/>
          <w:szCs w:val="18"/>
        </w:rPr>
        <w:t>2</w:t>
      </w:r>
      <w:r w:rsidR="00344D37" w:rsidRPr="00BC1722">
        <w:rPr>
          <w:rFonts w:ascii="Verdana" w:hAnsi="Verdana" w:cs="Arial"/>
          <w:noProof/>
          <w:spacing w:val="10"/>
          <w:sz w:val="18"/>
          <w:szCs w:val="18"/>
        </w:rPr>
        <w:t xml:space="preserve"> – </w:t>
      </w:r>
      <w:r w:rsidR="00515F57" w:rsidRPr="00515F57">
        <w:rPr>
          <w:rFonts w:ascii="Verdana" w:hAnsi="Verdana" w:cs="Arial"/>
          <w:noProof/>
          <w:spacing w:val="10"/>
          <w:sz w:val="18"/>
          <w:szCs w:val="18"/>
        </w:rPr>
        <w:t xml:space="preserve">Prende il via il nuovo corso di formazione per le stazioni appaltanti, organizzato da Accredia, l’Ente unico nazionale di accreditamento, Conforma, l’Associazione degli Organismi di certificazione, ispezione, prova e taratura, e UNI, l’Ente italiano di normazione, e ITACA, organo tecnico di supporto della Conferenza delle Regioni e delle Province autonome in materia di contratti pubblici. Le attività formative rientrano nell’ambito del Protocollo di intesa ITACA  Accredia e UNI siglato nel 2018 con l’obiettivo di contribuire all’aggiornamento formativo dei buyer pubblici per appalti efficienti ed efficaci. </w:t>
      </w:r>
    </w:p>
    <w:p w14:paraId="16F5DEFF" w14:textId="23A72F07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noProof/>
          <w:spacing w:val="10"/>
          <w:sz w:val="18"/>
          <w:szCs w:val="18"/>
        </w:rPr>
        <w:t>L’obiettivo didattico della seconda edizione è fornire al personale ed ai RUP delle oltre 30 mila stazioni appaltanti del nostro Paese approfondimenti e contenuti adeguati afferenti le tematiche della “</w:t>
      </w:r>
      <w:r w:rsidRPr="00515F57">
        <w:rPr>
          <w:rFonts w:ascii="Verdana" w:hAnsi="Verdana" w:cs="Arial"/>
          <w:i/>
          <w:iCs/>
          <w:noProof/>
          <w:spacing w:val="10"/>
          <w:sz w:val="18"/>
          <w:szCs w:val="18"/>
        </w:rPr>
        <w:t>verifica di progetto, controlli e ispezioni d’opera</w:t>
      </w:r>
      <w:r w:rsidRPr="00515F57">
        <w:rPr>
          <w:rFonts w:ascii="Verdana" w:hAnsi="Verdana" w:cs="Arial"/>
          <w:noProof/>
          <w:spacing w:val="10"/>
          <w:sz w:val="18"/>
          <w:szCs w:val="18"/>
        </w:rPr>
        <w:t xml:space="preserve">”. Il percorso formativo della durata di circa 4 ore e 30 minuti, sarà fruibile gratuitamente per il personale della Stazioni Appaltanti e fornirà informazioni su aspetti tecnici, norme UNI di riferimento, fasi, metodologie, soggetti coinvolti e ruoli con particolare riferimento ai temi della verifica di progetto garantita dall’accreditamento. È articolato in sei moduli formativi, di cui uno dedicato alla metodologia BIM-Building Information Modeling, per l’ottimizzazione dei processi a gestione dell’intero ciclo di vita di un bene, dalla progettazione alla verifica, dalla costruzione alla manutenzione, con trattazione anche di casi reali. </w:t>
      </w:r>
    </w:p>
    <w:p w14:paraId="3CDDF06F" w14:textId="5FC3F350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noProof/>
          <w:spacing w:val="10"/>
          <w:sz w:val="18"/>
          <w:szCs w:val="18"/>
        </w:rPr>
        <w:t>Nell’attuale Codice degli Appalti, infatti, sono frequenti i richiami alle valutazioni di conformità, in parte a seguito del recepimento delle direttive comunitarie, in parte per le scelte del legislatore italiano che ha dimostrato di attribuire alle valutazioni di conformità, per la loro natura di terzietà e indipendenza, un’elevata affidabilità, in grado di attestare la rispondenza ai requisiti previsti, e un forte potenziale semplificativo delle procedure della PA.</w:t>
      </w:r>
    </w:p>
    <w:p w14:paraId="295DB767" w14:textId="77777777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noProof/>
          <w:spacing w:val="10"/>
          <w:sz w:val="18"/>
          <w:szCs w:val="18"/>
        </w:rPr>
        <w:t xml:space="preserve">Qualificazione delle stazioni appaltanti e riforma del Codice degli appalti sono, peraltro, due tra i principali obiettivi del Piano Nazionale di Ripresa e Resilienza che è declinato in sei Missioni per le quali sono stati individuati gli schemi di valutazione di conformità accreditati già in essere. Anche in questo caso, gli standard tecnici UNI, l’accreditamento e le certificazioni possono rappresentare un riferimento per contribuire a valutare e individuare i soggetti e progetti da finanziare, nell’ottica dell’affidabilità e della semplificazione richieste per attuare presto e bene gli obiettivi stessi del PNRR. </w:t>
      </w:r>
    </w:p>
    <w:p w14:paraId="5B13C773" w14:textId="77777777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noProof/>
          <w:spacing w:val="10"/>
          <w:sz w:val="18"/>
          <w:szCs w:val="18"/>
        </w:rPr>
        <w:lastRenderedPageBreak/>
        <w:t xml:space="preserve">Il corso formativo verrà erogato esclusivamente in modalità e-learning sulla piattaforma ITACA ed in collaborazione con la Rete degli Osservatori regionali dei Contratti pubblici. </w:t>
      </w:r>
    </w:p>
    <w:p w14:paraId="0290F457" w14:textId="77777777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noProof/>
          <w:spacing w:val="10"/>
          <w:sz w:val="18"/>
          <w:szCs w:val="18"/>
        </w:rPr>
        <w:t>I docenti sono selezionati tra professionisti con esperienza pluriennale nelle verifiche di progetto o sulla gestione dei contratti con la PA, alcuni dei quali già coinvolti nella PNRR Academy.</w:t>
      </w:r>
    </w:p>
    <w:p w14:paraId="09A27DE2" w14:textId="08C68922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i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“Per sfruttare a pieno le potenzialità delle valutazioni di conformità è necessario che le stazioni appaltanti abbiano la migliore conoscenza di tutti gli aspetti, comprese le regole su standard tecnici UNI e valutazioni di conformità accreditate in modo tale che i riferimenti ad esse siano corretti e consapevoli, così da evitare lungaggini burocratiche e legali. Per questo, visto il successo della prima edizione, abbiamo deciso di proseguire questo percorso formativo, più utile che mai visto il momento che sta vivendo e vivrà la PA e il Paese in generale con gli obiettivi del PNRR anche in tema di infrastrutture”, </w:t>
      </w:r>
      <w:r w:rsidRPr="00515F57">
        <w:rPr>
          <w:rFonts w:ascii="Verdana" w:hAnsi="Verdana" w:cs="Arial"/>
          <w:i/>
          <w:noProof/>
          <w:spacing w:val="10"/>
          <w:sz w:val="18"/>
          <w:szCs w:val="18"/>
        </w:rPr>
        <w:t>spiega il Direttore Generale di Accredia, Filippo Trifiletti.</w:t>
      </w:r>
    </w:p>
    <w:p w14:paraId="316A8F2B" w14:textId="43878789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i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i/>
          <w:noProof/>
          <w:spacing w:val="10"/>
          <w:sz w:val="18"/>
          <w:szCs w:val="18"/>
        </w:rPr>
        <w:t>“Il riferimento alle norme UNI nella progettazione e nell'esecuzione delle opere pubbliche è garanzia di qualità e durata delle realizzazioni, di capacità e competenza professionale, ma anche di tutela dei diritti dei lavoratori e di salvaguardia dell’ambiente”, afferma il Direttore Generale UNI Ruggero Lensi. “Conoscere contenuti e modalità di applicazione delle norme UNI è fondamentale per consentire l’efficacia negli investimenti e l’efficienza nell’uso delle risorse pubbliche. Il PNRR può essere la prova visibile a tutti del valore e degli impatti socioeconomici di un uso sistematico della normazione tecnica UNI nel perseguimento delle strategie e degli obiettivi di politica economica nazionale”.</w:t>
      </w:r>
    </w:p>
    <w:p w14:paraId="60032C1A" w14:textId="59914163" w:rsidR="00515F57" w:rsidRPr="00515F57" w:rsidRDefault="00515F57" w:rsidP="00515F57">
      <w:pPr>
        <w:suppressAutoHyphens/>
        <w:spacing w:after="180" w:line="260" w:lineRule="exact"/>
        <w:jc w:val="both"/>
        <w:rPr>
          <w:rFonts w:ascii="Verdana" w:hAnsi="Verdana" w:cs="Arial"/>
          <w:i/>
          <w:iCs/>
          <w:noProof/>
          <w:spacing w:val="10"/>
          <w:sz w:val="18"/>
          <w:szCs w:val="18"/>
        </w:rPr>
      </w:pPr>
      <w:r w:rsidRPr="00515F57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“Conforma ha accolto con piacere l’opportunità di contribuire alla realizzazione di questo percorso formativo rivolto alle Stazioni Appaltanti, mettendo a disposizione tutta l’esperienza e competenza maturata dai propri associati nelle attività, tra l’altro, di verifica ai fini della validazione dei progetti, di supporto al RUP e di certificazione dei sistemi di gestione della qualità delle imprese. Il settore delle costruzioni è una delle principali Industry di Conforma che da anni si impegna per fornire il proprio contributo, anche a livello normativo e legislativo, al fine di promuovere e valorizzare i servizi di valutazione terza e indipendente. Ancora più forte è l’impegno in questo periodo storico, in cui i soggetti accreditati possono offrire e rendere disponibili l’esperienza e la competenza maturate nello svolgimento di un ruolo terzo per l’attuazione degli obiettivi del PNRR, anche con lo scopo di “spendere presto e bene” i fondi a disposizione, senza derogare a regole e controlli e alla qualità delle opere e degli interventi realizzati”, </w:t>
      </w:r>
      <w:r w:rsidRPr="00515F57">
        <w:rPr>
          <w:rFonts w:ascii="Verdana" w:hAnsi="Verdana" w:cs="Arial"/>
          <w:i/>
          <w:noProof/>
          <w:spacing w:val="10"/>
          <w:sz w:val="18"/>
          <w:szCs w:val="18"/>
        </w:rPr>
        <w:t xml:space="preserve">spiega il Presidente di </w:t>
      </w:r>
      <w:r>
        <w:rPr>
          <w:rFonts w:ascii="Verdana" w:hAnsi="Verdana" w:cs="Arial"/>
          <w:i/>
          <w:noProof/>
          <w:spacing w:val="10"/>
          <w:sz w:val="18"/>
          <w:szCs w:val="18"/>
        </w:rPr>
        <w:t>Conforma</w:t>
      </w:r>
      <w:r w:rsidRPr="00515F57">
        <w:rPr>
          <w:rFonts w:ascii="Verdana" w:hAnsi="Verdana" w:cs="Arial"/>
          <w:i/>
          <w:noProof/>
          <w:spacing w:val="10"/>
          <w:sz w:val="18"/>
          <w:szCs w:val="18"/>
        </w:rPr>
        <w:t>, Paolo Salza</w:t>
      </w:r>
      <w:r w:rsidRPr="00515F57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. </w:t>
      </w:r>
    </w:p>
    <w:p w14:paraId="2E5C2BE1" w14:textId="77777777" w:rsidR="00BC1722" w:rsidRDefault="00BC1722" w:rsidP="00AD61CF">
      <w:pPr>
        <w:suppressAutoHyphens/>
        <w:spacing w:after="180" w:line="260" w:lineRule="exact"/>
        <w:jc w:val="both"/>
        <w:rPr>
          <w:rFonts w:ascii="Verdana" w:hAnsi="Verdana" w:cs="Arial"/>
          <w:b/>
          <w:bCs/>
          <w:i/>
          <w:iCs/>
          <w:spacing w:val="10"/>
          <w:sz w:val="18"/>
          <w:szCs w:val="18"/>
        </w:rPr>
      </w:pPr>
    </w:p>
    <w:p w14:paraId="10624889" w14:textId="77777777" w:rsidR="00515F57" w:rsidRDefault="00515F57">
      <w:pPr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br w:type="page"/>
      </w:r>
    </w:p>
    <w:p w14:paraId="57D879A0" w14:textId="38512953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proofErr w:type="spellStart"/>
      <w:r w:rsidRPr="00515F57">
        <w:rPr>
          <w:rFonts w:ascii="Verdana" w:hAnsi="Verdana" w:cs="Arial"/>
          <w:b/>
          <w:bCs/>
          <w:i/>
          <w:iCs/>
          <w:sz w:val="18"/>
          <w:szCs w:val="18"/>
        </w:rPr>
        <w:lastRenderedPageBreak/>
        <w:t>Accredia</w:t>
      </w:r>
      <w:proofErr w:type="spellEnd"/>
      <w:r>
        <w:rPr>
          <w:rFonts w:ascii="Verdana" w:hAnsi="Verdana" w:cs="Arial"/>
          <w:bCs/>
          <w:i/>
          <w:iCs/>
          <w:sz w:val="18"/>
          <w:szCs w:val="18"/>
        </w:rPr>
        <w:t xml:space="preserve"> </w:t>
      </w:r>
      <w:r w:rsidRPr="00515F57">
        <w:rPr>
          <w:rFonts w:ascii="Verdana" w:hAnsi="Verdana" w:cs="Arial"/>
          <w:bCs/>
          <w:i/>
          <w:iCs/>
          <w:sz w:val="18"/>
          <w:szCs w:val="18"/>
        </w:rPr>
        <w:t>è l'Ente unico nazionale di accreditamento designato dal Governo italiano. Il suo compito è attestare la competenza dei laboratori e degli organismi che verificano la conformità di prodotti, servizi e professionisti agli standard di riferimento, facilitandone la circolazione a livello internazionale.</w:t>
      </w:r>
    </w:p>
    <w:p w14:paraId="26BEDFBE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039A5617" w14:textId="1CAB2DF2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proofErr w:type="spellStart"/>
      <w:r w:rsidRPr="00515F57">
        <w:rPr>
          <w:rFonts w:ascii="Verdana" w:hAnsi="Verdana" w:cs="Arial"/>
          <w:bCs/>
          <w:i/>
          <w:iCs/>
          <w:sz w:val="18"/>
          <w:szCs w:val="18"/>
        </w:rPr>
        <w:t>Accredia</w:t>
      </w:r>
      <w:proofErr w:type="spellEnd"/>
      <w:r w:rsidRPr="00515F57">
        <w:rPr>
          <w:rFonts w:ascii="Verdana" w:hAnsi="Verdana" w:cs="Arial"/>
          <w:bCs/>
          <w:i/>
          <w:iCs/>
          <w:sz w:val="18"/>
          <w:szCs w:val="18"/>
        </w:rPr>
        <w:t xml:space="preserve"> è un’associazione privata senza scopo di lucro che opera sotto la vigilanza del Ministero dello Sviluppo Economico e svolge un’attività di interesse pubblico, a garanzia delle istituzioni, delle imprese e dei consumatori.</w:t>
      </w:r>
    </w:p>
    <w:p w14:paraId="52E57091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471C5E11" w14:textId="6E0E59C1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proofErr w:type="spellStart"/>
      <w:r w:rsidRPr="00515F57">
        <w:rPr>
          <w:rFonts w:ascii="Verdana" w:hAnsi="Verdana" w:cs="Arial"/>
          <w:bCs/>
          <w:i/>
          <w:iCs/>
          <w:sz w:val="18"/>
          <w:szCs w:val="18"/>
        </w:rPr>
        <w:t>Accredia</w:t>
      </w:r>
      <w:proofErr w:type="spellEnd"/>
      <w:r w:rsidRPr="00515F57">
        <w:rPr>
          <w:rFonts w:ascii="Verdana" w:hAnsi="Verdana" w:cs="Arial"/>
          <w:bCs/>
          <w:i/>
          <w:iCs/>
          <w:sz w:val="18"/>
          <w:szCs w:val="18"/>
        </w:rPr>
        <w:t xml:space="preserve"> ha 68 soci che rappresentano tutte le parti interessate alle attività di accreditamento e certificazione, tra cui 9 Ministeri (Sviluppo Economico, Transizione Ecologica, Difesa, Infrastrutture e Mobilità Sostenibili, Interno, Università e Ricerca, Lavoro, Politiche Agricole, Salute),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</w:t>
      </w:r>
    </w:p>
    <w:p w14:paraId="26518187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14:paraId="1FE2D93C" w14:textId="37962DD6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sz w:val="18"/>
          <w:szCs w:val="18"/>
        </w:rPr>
        <w:t xml:space="preserve">L’Ente è membro dei network comunitari e internazionali di accreditamento ed è firmatario dei relativi Accordi di mutuo riconoscimento, in virtù dei quali le prove di laboratorio e le certificazioni degli organismi accreditati da </w:t>
      </w:r>
      <w:proofErr w:type="spellStart"/>
      <w:r w:rsidRPr="00515F57">
        <w:rPr>
          <w:rFonts w:ascii="Verdana" w:hAnsi="Verdana" w:cs="Arial"/>
          <w:bCs/>
          <w:i/>
          <w:iCs/>
          <w:sz w:val="18"/>
          <w:szCs w:val="18"/>
        </w:rPr>
        <w:t>Accredia</w:t>
      </w:r>
      <w:proofErr w:type="spellEnd"/>
      <w:r w:rsidRPr="00515F57">
        <w:rPr>
          <w:rFonts w:ascii="Verdana" w:hAnsi="Verdana" w:cs="Arial"/>
          <w:bCs/>
          <w:i/>
          <w:iCs/>
          <w:sz w:val="18"/>
          <w:szCs w:val="18"/>
        </w:rPr>
        <w:t xml:space="preserve"> sono riconosciute e accettate in Europa e nel mondo.</w:t>
      </w:r>
    </w:p>
    <w:p w14:paraId="3F33770D" w14:textId="542FBA1E" w:rsidR="001E5B1A" w:rsidRDefault="001E5B1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603ECC3" w14:textId="3B8579EE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0E297420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/>
          <w:bCs/>
          <w:i/>
          <w:iCs/>
          <w:noProof/>
          <w:sz w:val="18"/>
          <w:szCs w:val="18"/>
        </w:rPr>
        <w:t>UNI - Ente Italiano di Normazione</w:t>
      </w: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 xml:space="preserve"> è un’associazione privata senza scopo di lucro riconosciuta dallo Stato e dall’Unione Europea (D.Lgs. 223/2017 e Reg. UE 1025/2012), che da quasi 100 anni elabora e pubblica norme tecniche volontarie – le norme UNI – in tutti i settori industriali, commerciali e del terziario.</w:t>
      </w:r>
    </w:p>
    <w:p w14:paraId="6758B6BB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Sono soci UNI le imprese, i professionisti, gli enti pubblici, i centri di ricerca, gli istituti scolastici e accademici, le loro rappresentanze nazionali e settoriali, nonché quelle dei consumatori, dei lavoratori e del terzo settore, che insieme costituiscono una piattaforma multi-stakeholder di confronto tecnico unica a livello nazionale.</w:t>
      </w:r>
    </w:p>
    <w:p w14:paraId="51670C3C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794D2DA3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I valori caratteristici della normazione e dei suoi meccanismi di funzionamento sono la coerenza, la trasparenza, l’apertura, la consensualità, la volontarietà, l’indipendenza e l’efficienza.</w:t>
      </w:r>
    </w:p>
    <w:p w14:paraId="20DCD03C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Scopo della normazione è contribuire al miglioramento dell’efficienza e dell’efficacia del sistema socioeconomico, fornendo gli strumenti di supporto all’innovazione tecnologica, alla competitività delle imprese, alla tutela dei consumatori e alla protezione dell’ambiente.</w:t>
      </w:r>
    </w:p>
    <w:p w14:paraId="522D57C0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308C454E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La normazione può colmare con riferimenti certi e condivisi gli ambiti economici e sociali privi di riferimenti ufficiali, nonché semplificare il quadro di riferimento regolamentare con appropriate integrazioni applicative.</w:t>
      </w:r>
    </w:p>
    <w:p w14:paraId="0AA36B4B" w14:textId="235E1643" w:rsidR="00515F57" w:rsidRDefault="00515F57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6B88C448" w14:textId="78DEE3FB" w:rsidR="00515F57" w:rsidRDefault="00515F57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237368C2" w14:textId="694CFAFC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>
        <w:rPr>
          <w:rFonts w:ascii="Verdana" w:hAnsi="Verdana" w:cs="Arial"/>
          <w:b/>
          <w:bCs/>
          <w:i/>
          <w:iCs/>
          <w:noProof/>
          <w:sz w:val="18"/>
          <w:szCs w:val="18"/>
        </w:rPr>
        <w:t>Conforma</w:t>
      </w:r>
      <w:r w:rsidRPr="00515F57">
        <w:rPr>
          <w:rFonts w:ascii="Verdana" w:hAnsi="Verdana" w:cs="Arial"/>
          <w:b/>
          <w:bCs/>
          <w:i/>
          <w:iCs/>
          <w:noProof/>
          <w:sz w:val="18"/>
          <w:szCs w:val="18"/>
        </w:rPr>
        <w:t>:</w:t>
      </w: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 xml:space="preserve"> Associazione degli Organismi di Certificazione, Ispezione, Prova e Taratura, ha avviato la sua attività nel 2012 ed è costituita dalle principali società nazionali e internazionali che operano in Italia nel settore della valutazione di conformità di terza parte indipendente e accreditata. </w:t>
      </w:r>
    </w:p>
    <w:p w14:paraId="3B419ED6" w14:textId="77777777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1D868E68" w14:textId="388E0424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Essa ricomprende l’insieme delle attività di certificazione di sistemi di gestione, prodotto, personale e servizi; ispezioni; marcatura CE e prove di laboratorio e tarature, per lo più svolte in regime di accreditamento e/o su autorizzazione dei Ministeri competenti, che trovano applicazione in tutti gli ambiti produttivi e nel loro insieme costituiscono l’industria c.d. TIC (Testing, Inspection &amp; Certification).</w:t>
      </w:r>
    </w:p>
    <w:p w14:paraId="4E11DA89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1DF9A0CC" w14:textId="21F612D8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>
        <w:rPr>
          <w:rFonts w:ascii="Verdana" w:hAnsi="Verdana" w:cs="Arial"/>
          <w:bCs/>
          <w:i/>
          <w:iCs/>
          <w:noProof/>
          <w:sz w:val="18"/>
          <w:szCs w:val="18"/>
        </w:rPr>
        <w:t>Conforma</w:t>
      </w: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 xml:space="preserve"> oggi vanta 30 Soci che, a livello nazionale e internazionale, attestano la rispondenza ai requisiti di qualità, salute, sicurezza e protezione ambientale stabiliti dalle norme, con grande attenzione agli aspetti di digitalizzazione, innovazione, sostenibilità e transizione ecologica.</w:t>
      </w:r>
    </w:p>
    <w:p w14:paraId="783DA023" w14:textId="6F355D57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0BC25044" w14:textId="77777777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/>
          <w:bCs/>
          <w:i/>
          <w:iCs/>
          <w:noProof/>
          <w:sz w:val="18"/>
          <w:szCs w:val="18"/>
        </w:rPr>
      </w:pPr>
    </w:p>
    <w:p w14:paraId="42040734" w14:textId="77777777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/>
          <w:bCs/>
          <w:i/>
          <w:iCs/>
          <w:noProof/>
          <w:sz w:val="18"/>
          <w:szCs w:val="18"/>
        </w:rPr>
      </w:pPr>
    </w:p>
    <w:p w14:paraId="06300ED2" w14:textId="77777777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/>
          <w:bCs/>
          <w:i/>
          <w:iCs/>
          <w:noProof/>
          <w:sz w:val="18"/>
          <w:szCs w:val="18"/>
        </w:rPr>
      </w:pPr>
    </w:p>
    <w:p w14:paraId="608A5052" w14:textId="7CB5444F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>
        <w:rPr>
          <w:rFonts w:ascii="Verdana" w:hAnsi="Verdana" w:cs="Arial"/>
          <w:b/>
          <w:bCs/>
          <w:i/>
          <w:iCs/>
          <w:noProof/>
          <w:sz w:val="18"/>
          <w:szCs w:val="18"/>
        </w:rPr>
        <w:lastRenderedPageBreak/>
        <w:t>ITACA</w:t>
      </w:r>
      <w:r w:rsidRPr="00515F57">
        <w:rPr>
          <w:rFonts w:ascii="Verdana" w:hAnsi="Verdana" w:cs="Arial"/>
          <w:b/>
          <w:bCs/>
          <w:i/>
          <w:iCs/>
          <w:noProof/>
          <w:sz w:val="18"/>
          <w:szCs w:val="18"/>
        </w:rPr>
        <w:t xml:space="preserve"> </w:t>
      </w: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- L’Istituto ITACA è organo tecnico della Conferenza delle Regioni e delle Province autonome. Costituita nel 1996 per impulso delle Regioni italiane con la denominazione “Istituto per la trasparenza, l’aggiornamento e la certificazione degli appalti”, ITACA è un’associazione senza fini di lucro, i cui soci fondatori sono le Regioni e le Province autonome, con l’obiettivo di attivare azioni condivise dal sistema regionale per promuovere e garantire un efficace coordinamento tra le stesse, ed assicurare il miglior raccordo con le istituzioni statali, enti locali ed operatori del settore.</w:t>
      </w:r>
    </w:p>
    <w:p w14:paraId="510A897A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35383C05" w14:textId="1C48F40D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Dal 2005 ITACA ha adottato la sua nuova denominazione “Istituto per l’innovazione e trasparenza degli appalti e la compatibilità ambientale”, la quale, pur confermando l’identità statutaria, ne sottolinea l’impegno anche sul versante delle tematiche inerenti alla sostenibilità ambientale.</w:t>
      </w:r>
    </w:p>
    <w:p w14:paraId="35C74B53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49636AAD" w14:textId="39A17643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ITACA opera su obiettivi puntuali di stimolo, coordinamento e armonizzazione in settori chiave dell’attività della pubblica amministrazione cercando di valorizzarne l’autonomia e la responsabilità.</w:t>
      </w:r>
    </w:p>
    <w:p w14:paraId="0242AA48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0600470B" w14:textId="528B39A3" w:rsid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L’attività viene esercitata con il coinvolgimento oltre che di esperti regionali, anche di referenti delle amministrazioni statali, locali e organismi rappresentativi delle categorie di settore. Tale operato ha permesso, da un lato, un ampio e concreto confronto su questioni di volta in volta individuate, e dall’altro, lo scambio di conoscenze e condivisione di progetti che possono costituire ipotesi di sviluppo socio-economico e ambientale per il Paese.</w:t>
      </w:r>
    </w:p>
    <w:p w14:paraId="422F05DF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53B21C74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  <w:r w:rsidRPr="00515F57">
        <w:rPr>
          <w:rFonts w:ascii="Verdana" w:hAnsi="Verdana" w:cs="Arial"/>
          <w:bCs/>
          <w:i/>
          <w:iCs/>
          <w:noProof/>
          <w:sz w:val="18"/>
          <w:szCs w:val="18"/>
        </w:rPr>
        <w:t>Un patrimonio che le Regioni in questi anni stanno adoperando e valorizzando pienamente.</w:t>
      </w:r>
    </w:p>
    <w:p w14:paraId="6D4AD1E8" w14:textId="77777777" w:rsidR="00515F57" w:rsidRPr="00515F57" w:rsidRDefault="00515F57" w:rsidP="00515F57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Verdana" w:hAnsi="Verdana" w:cs="Arial"/>
          <w:bCs/>
          <w:i/>
          <w:iCs/>
          <w:noProof/>
          <w:sz w:val="18"/>
          <w:szCs w:val="18"/>
        </w:rPr>
      </w:pPr>
    </w:p>
    <w:p w14:paraId="19DD0EB2" w14:textId="77777777" w:rsidR="00515F57" w:rsidRDefault="00515F57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1B7135D" w14:textId="5926DB4D" w:rsidR="00D63A3A" w:rsidRDefault="00D63A3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2B7FD60" w14:textId="27803500" w:rsidR="004B28B4" w:rsidRDefault="004B28B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C7E14C4" w14:textId="77777777" w:rsidR="004B28B4" w:rsidRDefault="004B28B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17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919"/>
        <w:gridCol w:w="5007"/>
      </w:tblGrid>
      <w:tr w:rsidR="00515F57" w:rsidRPr="002E58D5" w14:paraId="456A8E07" w14:textId="77777777" w:rsidTr="00515F57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46BC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15F57">
              <w:rPr>
                <w:rFonts w:ascii="Verdana" w:hAnsi="Verdana" w:cs="Arial"/>
                <w:sz w:val="18"/>
                <w:szCs w:val="18"/>
              </w:rPr>
              <w:t>Contact</w:t>
            </w:r>
            <w:proofErr w:type="spellEnd"/>
            <w:r w:rsidRPr="00515F57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48AD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15F57">
              <w:rPr>
                <w:rFonts w:ascii="Verdana" w:hAnsi="Verdana" w:cs="Arial"/>
                <w:sz w:val="18"/>
                <w:szCs w:val="18"/>
              </w:rPr>
              <w:t>Barabino&amp;Partners</w:t>
            </w:r>
            <w:proofErr w:type="spellEnd"/>
          </w:p>
          <w:p w14:paraId="27A9FF66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>Domenico Lofano</w:t>
            </w:r>
          </w:p>
          <w:p w14:paraId="3FB7AAC5" w14:textId="77777777" w:rsidR="00515F57" w:rsidRPr="00515F57" w:rsidRDefault="008E5A4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8" w:history="1">
              <w:r w:rsidR="00515F57" w:rsidRPr="00515F57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d.lofano@barabino.it</w:t>
              </w:r>
            </w:hyperlink>
          </w:p>
          <w:p w14:paraId="041F22AF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>Tel. 06.679.29.29</w:t>
            </w:r>
          </w:p>
          <w:p w14:paraId="39824241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>Cell. 334.14.12.995</w:t>
            </w:r>
          </w:p>
        </w:tc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97AC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15F57">
              <w:rPr>
                <w:rFonts w:ascii="Verdana" w:hAnsi="Verdana" w:cs="Arial"/>
                <w:sz w:val="18"/>
                <w:szCs w:val="18"/>
              </w:rPr>
              <w:t>Accredia</w:t>
            </w:r>
            <w:proofErr w:type="spellEnd"/>
          </w:p>
          <w:p w14:paraId="5DAB7614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 xml:space="preserve">Francesca </w:t>
            </w:r>
            <w:proofErr w:type="spellStart"/>
            <w:r w:rsidRPr="00515F57">
              <w:rPr>
                <w:rFonts w:ascii="Verdana" w:hAnsi="Verdana" w:cs="Arial"/>
                <w:sz w:val="18"/>
                <w:szCs w:val="18"/>
              </w:rPr>
              <w:t>Nizzero</w:t>
            </w:r>
            <w:proofErr w:type="spellEnd"/>
            <w:r w:rsidRPr="00515F5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5DDB9E1" w14:textId="77777777" w:rsidR="00515F57" w:rsidRPr="00515F57" w:rsidRDefault="008E5A4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515F57" w:rsidRPr="00515F57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f.nizzero@accredia.it</w:t>
              </w:r>
            </w:hyperlink>
          </w:p>
          <w:p w14:paraId="7630B3B1" w14:textId="77777777" w:rsidR="00515F57" w:rsidRPr="00515F57" w:rsidRDefault="00515F57" w:rsidP="0047233E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15F57">
              <w:rPr>
                <w:rFonts w:ascii="Verdana" w:hAnsi="Verdana" w:cs="Arial"/>
                <w:sz w:val="18"/>
                <w:szCs w:val="18"/>
              </w:rPr>
              <w:t>Tel. 06.844099.23</w:t>
            </w:r>
          </w:p>
        </w:tc>
      </w:tr>
    </w:tbl>
    <w:p w14:paraId="1BACEDE9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sectPr w:rsidR="004C50F6" w:rsidSect="0097501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843" w:left="1134" w:header="10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220C8" w14:textId="77777777" w:rsidR="008E5A47" w:rsidRDefault="008E5A47">
      <w:r>
        <w:separator/>
      </w:r>
    </w:p>
  </w:endnote>
  <w:endnote w:type="continuationSeparator" w:id="0">
    <w:p w14:paraId="6C243A7F" w14:textId="77777777" w:rsidR="008E5A47" w:rsidRDefault="008E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55AD9" w:rsidRPr="00991867" w14:paraId="03FC6B83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55AD9" w:rsidRPr="00C70D80" w:rsidRDefault="00E55AD9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55AD9" w:rsidRPr="000C5393" w:rsidRDefault="00E55AD9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55AD9" w:rsidRPr="00991867" w14:paraId="26F1EE74" w14:textId="77777777" w:rsidTr="00344FD4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55AD9" w:rsidRPr="00C55AE1" w:rsidRDefault="00E55AD9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55AD9" w:rsidRPr="000C5393" w:rsidRDefault="00E55AD9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7C38FC" w:rsidRPr="00991867" w14:paraId="2E1A3374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4920511" w14:textId="77777777" w:rsid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4BC7B011" w14:textId="77777777" w:rsidR="004B28B4" w:rsidRDefault="00515F57" w:rsidP="007C38FC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</w:pPr>
          <w:r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  <w:t>NUOVO CORSO DI FORMAZIONE</w:t>
          </w:r>
        </w:p>
        <w:p w14:paraId="03F5F61C" w14:textId="24B841F9" w:rsidR="007C38FC" w:rsidRPr="00515F57" w:rsidRDefault="00515F57" w:rsidP="007C38FC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  <w:r w:rsidRPr="00515F57">
            <w:rPr>
              <w:rFonts w:ascii="Verdana" w:hAnsi="Verdana"/>
              <w:b/>
              <w:bCs/>
              <w:color w:val="000000" w:themeColor="text1"/>
              <w:sz w:val="14"/>
              <w:szCs w:val="14"/>
              <w:lang w:val="it-IT"/>
            </w:rPr>
            <w:t>ACCREDIA, CONFORMA, UNI e ITACA</w:t>
          </w:r>
        </w:p>
      </w:tc>
      <w:tc>
        <w:tcPr>
          <w:tcW w:w="850" w:type="dxa"/>
          <w:shd w:val="clear" w:color="auto" w:fill="auto"/>
          <w:noWrap/>
        </w:tcPr>
        <w:p w14:paraId="0DEF3D95" w14:textId="77777777" w:rsidR="007C38FC" w:rsidRPr="007C38FC" w:rsidRDefault="007C38FC" w:rsidP="007C38FC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7C38FC" w:rsidRPr="00991867" w14:paraId="03BE2E56" w14:textId="77777777" w:rsidTr="007C38FC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3E34B711" w14:textId="79540BD1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  <w:r w:rsidRPr="00BC1722"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  <w:t xml:space="preserve">DATA  </w:t>
          </w:r>
          <w:r w:rsidR="00515F57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16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0</w:t>
          </w:r>
          <w:r w:rsidR="00515F57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3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-20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</w:t>
          </w:r>
          <w:r w:rsidR="00515F57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</w:t>
          </w: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75FDD6C" w14:textId="77777777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55AD9" w:rsidRDefault="00E55AD9">
    <w:pPr>
      <w:pStyle w:val="Pidipagina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D176B" w:rsidRPr="00991867" w14:paraId="0DC12B9D" w14:textId="77777777" w:rsidTr="00B40BFD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5D176B" w:rsidRPr="007C38FC" w:rsidRDefault="005D176B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D176B" w:rsidRPr="00991867" w14:paraId="1D520022" w14:textId="77777777" w:rsidTr="00B40BFD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CE74B1" wp14:editId="76582F2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5865" cy="116967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0546" w14:textId="77777777" w:rsidR="008E5A47" w:rsidRDefault="008E5A47">
      <w:r>
        <w:separator/>
      </w:r>
    </w:p>
  </w:footnote>
  <w:footnote w:type="continuationSeparator" w:id="0">
    <w:p w14:paraId="5DEB387F" w14:textId="77777777" w:rsidR="008E5A47" w:rsidRDefault="008E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3D40" w14:textId="1779E95F" w:rsidR="00345EE8" w:rsidRPr="007E4C19" w:rsidRDefault="0097501F" w:rsidP="007E4C19">
    <w:pPr>
      <w:tabs>
        <w:tab w:val="center" w:pos="4819"/>
        <w:tab w:val="right" w:pos="9638"/>
      </w:tabs>
      <w:jc w:val="center"/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786C4E1C" wp14:editId="21DE2B0D">
          <wp:extent cx="1192001" cy="479100"/>
          <wp:effectExtent l="0" t="0" r="1905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7486" cy="497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5F57">
      <w:rPr>
        <w:rFonts w:ascii="Montserrat" w:eastAsia="Calibri" w:hAnsi="Montserrat"/>
        <w:sz w:val="22"/>
        <w:szCs w:val="22"/>
        <w:lang w:eastAsia="en-US"/>
      </w:rPr>
      <w:t xml:space="preserve"> </w:t>
    </w:r>
    <w:r w:rsidR="007E4C19" w:rsidRPr="007E4C19">
      <w:rPr>
        <w:rFonts w:ascii="Montserrat" w:eastAsia="Calibri" w:hAnsi="Montserrat"/>
        <w:noProof/>
        <w:sz w:val="22"/>
        <w:szCs w:val="22"/>
        <w:lang w:eastAsia="en-US"/>
      </w:rPr>
      <w:drawing>
        <wp:inline distT="0" distB="0" distL="0" distR="0" wp14:anchorId="7CE50502" wp14:editId="45CA561A">
          <wp:extent cx="1665027" cy="515576"/>
          <wp:effectExtent l="0" t="0" r="0" b="5715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AB8C6AEF-17CD-C248-A551-E81AC4D7B7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AB8C6AEF-17CD-C248-A551-E81AC4D7B7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50" r="6224"/>
                  <a:stretch/>
                </pic:blipFill>
                <pic:spPr bwMode="auto">
                  <a:xfrm>
                    <a:off x="0" y="0"/>
                    <a:ext cx="1796688" cy="556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15F57">
      <w:rPr>
        <w:rFonts w:ascii="Montserrat" w:eastAsia="Calibri" w:hAnsi="Montserrat"/>
        <w:sz w:val="22"/>
        <w:szCs w:val="22"/>
        <w:lang w:eastAsia="en-US"/>
      </w:rPr>
      <w:t xml:space="preserve"> </w:t>
    </w:r>
    <w:r w:rsidR="007E4C19"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04827C8A" wp14:editId="6DB9DB7A">
          <wp:extent cx="1223913" cy="47196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13" cy="473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F57">
      <w:rPr>
        <w:rFonts w:ascii="Montserrat" w:eastAsia="Calibri" w:hAnsi="Montserrat"/>
        <w:sz w:val="22"/>
        <w:szCs w:val="22"/>
        <w:lang w:eastAsia="en-US"/>
      </w:rPr>
      <w:t xml:space="preserve"> </w:t>
    </w:r>
    <w:r w:rsidR="007E4C19">
      <w:rPr>
        <w:rFonts w:ascii="Montserrat" w:eastAsia="Calibri" w:hAnsi="Montserrat"/>
        <w:sz w:val="22"/>
        <w:szCs w:val="22"/>
        <w:lang w:eastAsia="en-US"/>
      </w:rPr>
      <w:t xml:space="preserve"> </w:t>
    </w:r>
    <w:r w:rsidR="007E4C19" w:rsidRPr="007E4C19">
      <w:rPr>
        <w:rFonts w:ascii="Montserrat" w:eastAsia="Calibri" w:hAnsi="Montserrat"/>
        <w:noProof/>
        <w:sz w:val="22"/>
        <w:szCs w:val="22"/>
        <w:lang w:eastAsia="en-US"/>
      </w:rPr>
      <w:drawing>
        <wp:inline distT="0" distB="0" distL="0" distR="0" wp14:anchorId="112E46AC" wp14:editId="573CDAD5">
          <wp:extent cx="1898112" cy="451771"/>
          <wp:effectExtent l="0" t="0" r="0" b="5715"/>
          <wp:docPr id="13" name="Immagine 12">
            <a:extLst xmlns:a="http://schemas.openxmlformats.org/drawingml/2006/main">
              <a:ext uri="{FF2B5EF4-FFF2-40B4-BE49-F238E27FC236}">
                <a16:creationId xmlns:a16="http://schemas.microsoft.com/office/drawing/2014/main" id="{FF6F5314-5E07-4446-87BD-610DB7E60B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 descr="Immagine che contiene testo, cielo notturno&#10;&#10;Descrizione generata automaticamente">
                    <a:extLst>
                      <a:ext uri="{FF2B5EF4-FFF2-40B4-BE49-F238E27FC236}">
                        <a16:creationId xmlns:a16="http://schemas.microsoft.com/office/drawing/2014/main" id="{FF6F5314-5E07-4446-87BD-610DB7E60B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12" cy="451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275BE"/>
    <w:rsid w:val="0003011F"/>
    <w:rsid w:val="0003123E"/>
    <w:rsid w:val="0003160C"/>
    <w:rsid w:val="00031992"/>
    <w:rsid w:val="00032CC3"/>
    <w:rsid w:val="00033972"/>
    <w:rsid w:val="00034889"/>
    <w:rsid w:val="00036E02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3014"/>
    <w:rsid w:val="000C6C53"/>
    <w:rsid w:val="000C7745"/>
    <w:rsid w:val="000D092F"/>
    <w:rsid w:val="000D3295"/>
    <w:rsid w:val="000D60E8"/>
    <w:rsid w:val="000D7718"/>
    <w:rsid w:val="000E2778"/>
    <w:rsid w:val="000E6805"/>
    <w:rsid w:val="000E7300"/>
    <w:rsid w:val="000F0F41"/>
    <w:rsid w:val="000F5893"/>
    <w:rsid w:val="000F71A8"/>
    <w:rsid w:val="000F744B"/>
    <w:rsid w:val="00103442"/>
    <w:rsid w:val="00105069"/>
    <w:rsid w:val="0010558F"/>
    <w:rsid w:val="001064D2"/>
    <w:rsid w:val="00110250"/>
    <w:rsid w:val="00110BEF"/>
    <w:rsid w:val="00120889"/>
    <w:rsid w:val="00125B70"/>
    <w:rsid w:val="00125D17"/>
    <w:rsid w:val="00126983"/>
    <w:rsid w:val="001274C6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B23CC"/>
    <w:rsid w:val="001B2DCC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60A2"/>
    <w:rsid w:val="001C6BF8"/>
    <w:rsid w:val="001D08B7"/>
    <w:rsid w:val="001D482A"/>
    <w:rsid w:val="001D5A47"/>
    <w:rsid w:val="001D602C"/>
    <w:rsid w:val="001D6E17"/>
    <w:rsid w:val="001D6F65"/>
    <w:rsid w:val="001D7AA1"/>
    <w:rsid w:val="001E5B1A"/>
    <w:rsid w:val="001F2C30"/>
    <w:rsid w:val="001F5FE4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7BCB"/>
    <w:rsid w:val="00217E18"/>
    <w:rsid w:val="002201F1"/>
    <w:rsid w:val="00220922"/>
    <w:rsid w:val="0022159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557AF"/>
    <w:rsid w:val="00261061"/>
    <w:rsid w:val="0026132B"/>
    <w:rsid w:val="00261F61"/>
    <w:rsid w:val="00263048"/>
    <w:rsid w:val="00266676"/>
    <w:rsid w:val="002668F3"/>
    <w:rsid w:val="00267099"/>
    <w:rsid w:val="00277A09"/>
    <w:rsid w:val="002813D7"/>
    <w:rsid w:val="00282495"/>
    <w:rsid w:val="00282B29"/>
    <w:rsid w:val="002906BD"/>
    <w:rsid w:val="00290849"/>
    <w:rsid w:val="00292E11"/>
    <w:rsid w:val="002972DA"/>
    <w:rsid w:val="002A06C2"/>
    <w:rsid w:val="002A2F26"/>
    <w:rsid w:val="002A4E9E"/>
    <w:rsid w:val="002A6BB7"/>
    <w:rsid w:val="002B0299"/>
    <w:rsid w:val="002B36D4"/>
    <w:rsid w:val="002D181A"/>
    <w:rsid w:val="002D3C24"/>
    <w:rsid w:val="002D4824"/>
    <w:rsid w:val="002D66F7"/>
    <w:rsid w:val="002D7C67"/>
    <w:rsid w:val="002E15C5"/>
    <w:rsid w:val="002E1911"/>
    <w:rsid w:val="002E2179"/>
    <w:rsid w:val="002E43B4"/>
    <w:rsid w:val="002E6C7C"/>
    <w:rsid w:val="002F064A"/>
    <w:rsid w:val="002F5E84"/>
    <w:rsid w:val="00301837"/>
    <w:rsid w:val="003051A0"/>
    <w:rsid w:val="00316212"/>
    <w:rsid w:val="00316AC2"/>
    <w:rsid w:val="003228B1"/>
    <w:rsid w:val="00324065"/>
    <w:rsid w:val="00331E30"/>
    <w:rsid w:val="00333179"/>
    <w:rsid w:val="003335AD"/>
    <w:rsid w:val="00334DCA"/>
    <w:rsid w:val="003369BC"/>
    <w:rsid w:val="003430E3"/>
    <w:rsid w:val="00344D37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4A53"/>
    <w:rsid w:val="003D7B77"/>
    <w:rsid w:val="003E2FBA"/>
    <w:rsid w:val="003E3599"/>
    <w:rsid w:val="003E4DB6"/>
    <w:rsid w:val="003E6072"/>
    <w:rsid w:val="003E76D5"/>
    <w:rsid w:val="003E78A0"/>
    <w:rsid w:val="003F0871"/>
    <w:rsid w:val="003F2180"/>
    <w:rsid w:val="003F2CFE"/>
    <w:rsid w:val="003F540C"/>
    <w:rsid w:val="003F75E5"/>
    <w:rsid w:val="004020C3"/>
    <w:rsid w:val="00404142"/>
    <w:rsid w:val="0040492F"/>
    <w:rsid w:val="00404E18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B28B4"/>
    <w:rsid w:val="004B2B5E"/>
    <w:rsid w:val="004B4DBE"/>
    <w:rsid w:val="004B5C23"/>
    <w:rsid w:val="004C2553"/>
    <w:rsid w:val="004C4DD6"/>
    <w:rsid w:val="004C50F6"/>
    <w:rsid w:val="004C6CCD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15F57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6D86"/>
    <w:rsid w:val="005614D5"/>
    <w:rsid w:val="00562D7F"/>
    <w:rsid w:val="00562E8A"/>
    <w:rsid w:val="005669B2"/>
    <w:rsid w:val="00571E2D"/>
    <w:rsid w:val="00577530"/>
    <w:rsid w:val="0058006E"/>
    <w:rsid w:val="005803C3"/>
    <w:rsid w:val="00580939"/>
    <w:rsid w:val="00582A67"/>
    <w:rsid w:val="005873FD"/>
    <w:rsid w:val="005951F2"/>
    <w:rsid w:val="00596D15"/>
    <w:rsid w:val="005A3548"/>
    <w:rsid w:val="005A44EF"/>
    <w:rsid w:val="005A4A83"/>
    <w:rsid w:val="005A5E95"/>
    <w:rsid w:val="005B2177"/>
    <w:rsid w:val="005B25F9"/>
    <w:rsid w:val="005B2F62"/>
    <w:rsid w:val="005B3767"/>
    <w:rsid w:val="005B4497"/>
    <w:rsid w:val="005B5632"/>
    <w:rsid w:val="005C13CE"/>
    <w:rsid w:val="005C1C68"/>
    <w:rsid w:val="005C5D5B"/>
    <w:rsid w:val="005D176B"/>
    <w:rsid w:val="005D3DCB"/>
    <w:rsid w:val="005D4BC7"/>
    <w:rsid w:val="005D67F8"/>
    <w:rsid w:val="005E1855"/>
    <w:rsid w:val="005E4386"/>
    <w:rsid w:val="005F034C"/>
    <w:rsid w:val="005F1F68"/>
    <w:rsid w:val="005F430D"/>
    <w:rsid w:val="00600A72"/>
    <w:rsid w:val="0060506C"/>
    <w:rsid w:val="00605B0C"/>
    <w:rsid w:val="006101F4"/>
    <w:rsid w:val="00610A23"/>
    <w:rsid w:val="00612992"/>
    <w:rsid w:val="00616AD6"/>
    <w:rsid w:val="0062260F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717C"/>
    <w:rsid w:val="00652B58"/>
    <w:rsid w:val="00652F55"/>
    <w:rsid w:val="00653CA4"/>
    <w:rsid w:val="00654A5C"/>
    <w:rsid w:val="00654D29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A0A"/>
    <w:rsid w:val="006A50DE"/>
    <w:rsid w:val="006A6BA5"/>
    <w:rsid w:val="006B0EC4"/>
    <w:rsid w:val="006B301A"/>
    <w:rsid w:val="006B43E8"/>
    <w:rsid w:val="006B447B"/>
    <w:rsid w:val="006B5C7E"/>
    <w:rsid w:val="006B64D4"/>
    <w:rsid w:val="006C196B"/>
    <w:rsid w:val="006C7469"/>
    <w:rsid w:val="006D1C1F"/>
    <w:rsid w:val="006D552B"/>
    <w:rsid w:val="006D59BD"/>
    <w:rsid w:val="006E75E4"/>
    <w:rsid w:val="006F1266"/>
    <w:rsid w:val="006F188C"/>
    <w:rsid w:val="006F28F0"/>
    <w:rsid w:val="006F29DA"/>
    <w:rsid w:val="007009D1"/>
    <w:rsid w:val="007021DE"/>
    <w:rsid w:val="00702E72"/>
    <w:rsid w:val="0070668B"/>
    <w:rsid w:val="00710FE0"/>
    <w:rsid w:val="007126CB"/>
    <w:rsid w:val="00716872"/>
    <w:rsid w:val="00717A37"/>
    <w:rsid w:val="00717C2D"/>
    <w:rsid w:val="00717E4D"/>
    <w:rsid w:val="00721121"/>
    <w:rsid w:val="00722910"/>
    <w:rsid w:val="0072452B"/>
    <w:rsid w:val="00725A61"/>
    <w:rsid w:val="00727C40"/>
    <w:rsid w:val="007336F2"/>
    <w:rsid w:val="00733B12"/>
    <w:rsid w:val="00733BB7"/>
    <w:rsid w:val="00736553"/>
    <w:rsid w:val="0073713E"/>
    <w:rsid w:val="00741504"/>
    <w:rsid w:val="007417D2"/>
    <w:rsid w:val="00743561"/>
    <w:rsid w:val="00743DD4"/>
    <w:rsid w:val="00744013"/>
    <w:rsid w:val="00745F75"/>
    <w:rsid w:val="0074676F"/>
    <w:rsid w:val="007503A1"/>
    <w:rsid w:val="007520A8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465"/>
    <w:rsid w:val="007761F9"/>
    <w:rsid w:val="00784830"/>
    <w:rsid w:val="0079320F"/>
    <w:rsid w:val="007954F6"/>
    <w:rsid w:val="0079649B"/>
    <w:rsid w:val="007964BD"/>
    <w:rsid w:val="007B1C62"/>
    <w:rsid w:val="007B3CDB"/>
    <w:rsid w:val="007B5326"/>
    <w:rsid w:val="007B62A3"/>
    <w:rsid w:val="007C081D"/>
    <w:rsid w:val="007C29D6"/>
    <w:rsid w:val="007C306A"/>
    <w:rsid w:val="007C32DD"/>
    <w:rsid w:val="007C38FC"/>
    <w:rsid w:val="007C5DBF"/>
    <w:rsid w:val="007D28DE"/>
    <w:rsid w:val="007D5E3C"/>
    <w:rsid w:val="007D7647"/>
    <w:rsid w:val="007E4484"/>
    <w:rsid w:val="007E4904"/>
    <w:rsid w:val="007E4C19"/>
    <w:rsid w:val="007F1253"/>
    <w:rsid w:val="007F168C"/>
    <w:rsid w:val="007F21E9"/>
    <w:rsid w:val="007F41DE"/>
    <w:rsid w:val="007F5E9D"/>
    <w:rsid w:val="00801472"/>
    <w:rsid w:val="008058D2"/>
    <w:rsid w:val="00814BD3"/>
    <w:rsid w:val="00821DBB"/>
    <w:rsid w:val="008239D3"/>
    <w:rsid w:val="00825230"/>
    <w:rsid w:val="008304BD"/>
    <w:rsid w:val="0083502A"/>
    <w:rsid w:val="00835A17"/>
    <w:rsid w:val="0084242B"/>
    <w:rsid w:val="008432DE"/>
    <w:rsid w:val="00856313"/>
    <w:rsid w:val="00857CF1"/>
    <w:rsid w:val="0086630B"/>
    <w:rsid w:val="00872642"/>
    <w:rsid w:val="0087535B"/>
    <w:rsid w:val="00877023"/>
    <w:rsid w:val="008800B5"/>
    <w:rsid w:val="008848DE"/>
    <w:rsid w:val="00884DC6"/>
    <w:rsid w:val="0089571B"/>
    <w:rsid w:val="00895943"/>
    <w:rsid w:val="008A2AE6"/>
    <w:rsid w:val="008B01C0"/>
    <w:rsid w:val="008B098C"/>
    <w:rsid w:val="008B1B36"/>
    <w:rsid w:val="008B246E"/>
    <w:rsid w:val="008B4173"/>
    <w:rsid w:val="008B5082"/>
    <w:rsid w:val="008B6476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5531"/>
    <w:rsid w:val="008E55B4"/>
    <w:rsid w:val="008E5A47"/>
    <w:rsid w:val="008F389A"/>
    <w:rsid w:val="008F5039"/>
    <w:rsid w:val="00921923"/>
    <w:rsid w:val="00923C92"/>
    <w:rsid w:val="0092481B"/>
    <w:rsid w:val="00930288"/>
    <w:rsid w:val="0093285E"/>
    <w:rsid w:val="0093765B"/>
    <w:rsid w:val="00937AE3"/>
    <w:rsid w:val="00942958"/>
    <w:rsid w:val="00943B6F"/>
    <w:rsid w:val="00943E6A"/>
    <w:rsid w:val="00945712"/>
    <w:rsid w:val="0095349D"/>
    <w:rsid w:val="00953E42"/>
    <w:rsid w:val="00954440"/>
    <w:rsid w:val="0095589A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2451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5F5"/>
    <w:rsid w:val="00A05816"/>
    <w:rsid w:val="00A06139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51546"/>
    <w:rsid w:val="00A529CD"/>
    <w:rsid w:val="00A547BB"/>
    <w:rsid w:val="00A55863"/>
    <w:rsid w:val="00A60283"/>
    <w:rsid w:val="00A61666"/>
    <w:rsid w:val="00A62845"/>
    <w:rsid w:val="00A62EEC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4538"/>
    <w:rsid w:val="00AA25B8"/>
    <w:rsid w:val="00AA3998"/>
    <w:rsid w:val="00AA405D"/>
    <w:rsid w:val="00AA4871"/>
    <w:rsid w:val="00AA63F0"/>
    <w:rsid w:val="00AB3889"/>
    <w:rsid w:val="00AC3603"/>
    <w:rsid w:val="00AC4212"/>
    <w:rsid w:val="00AC54EB"/>
    <w:rsid w:val="00AC5818"/>
    <w:rsid w:val="00AD2CA4"/>
    <w:rsid w:val="00AD4940"/>
    <w:rsid w:val="00AD61CF"/>
    <w:rsid w:val="00AD62B8"/>
    <w:rsid w:val="00AE1BFF"/>
    <w:rsid w:val="00AE3073"/>
    <w:rsid w:val="00AE3CBA"/>
    <w:rsid w:val="00AE5E37"/>
    <w:rsid w:val="00AE6709"/>
    <w:rsid w:val="00AE674A"/>
    <w:rsid w:val="00AF4155"/>
    <w:rsid w:val="00B01EF8"/>
    <w:rsid w:val="00B0691E"/>
    <w:rsid w:val="00B1386E"/>
    <w:rsid w:val="00B13AE1"/>
    <w:rsid w:val="00B14309"/>
    <w:rsid w:val="00B14EF1"/>
    <w:rsid w:val="00B15A00"/>
    <w:rsid w:val="00B16EC6"/>
    <w:rsid w:val="00B214CE"/>
    <w:rsid w:val="00B23E5C"/>
    <w:rsid w:val="00B24672"/>
    <w:rsid w:val="00B24EEC"/>
    <w:rsid w:val="00B2785E"/>
    <w:rsid w:val="00B3117C"/>
    <w:rsid w:val="00B37275"/>
    <w:rsid w:val="00B416B3"/>
    <w:rsid w:val="00B4336F"/>
    <w:rsid w:val="00B451D7"/>
    <w:rsid w:val="00B45901"/>
    <w:rsid w:val="00B46C2C"/>
    <w:rsid w:val="00B47D88"/>
    <w:rsid w:val="00B51348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2A20"/>
    <w:rsid w:val="00B961FF"/>
    <w:rsid w:val="00B96552"/>
    <w:rsid w:val="00BA102D"/>
    <w:rsid w:val="00BA4CD0"/>
    <w:rsid w:val="00BA5BAF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44E14"/>
    <w:rsid w:val="00C528F8"/>
    <w:rsid w:val="00C5680F"/>
    <w:rsid w:val="00C57947"/>
    <w:rsid w:val="00C60EE3"/>
    <w:rsid w:val="00C610FD"/>
    <w:rsid w:val="00C61512"/>
    <w:rsid w:val="00C6303A"/>
    <w:rsid w:val="00C66081"/>
    <w:rsid w:val="00C75EF3"/>
    <w:rsid w:val="00C76044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99A"/>
    <w:rsid w:val="00CE42E1"/>
    <w:rsid w:val="00CE4601"/>
    <w:rsid w:val="00CE4767"/>
    <w:rsid w:val="00CE507A"/>
    <w:rsid w:val="00CF084B"/>
    <w:rsid w:val="00CF3A7A"/>
    <w:rsid w:val="00CF4066"/>
    <w:rsid w:val="00D004A1"/>
    <w:rsid w:val="00D008FD"/>
    <w:rsid w:val="00D02135"/>
    <w:rsid w:val="00D068F0"/>
    <w:rsid w:val="00D06DB1"/>
    <w:rsid w:val="00D06ED6"/>
    <w:rsid w:val="00D10982"/>
    <w:rsid w:val="00D117CF"/>
    <w:rsid w:val="00D12616"/>
    <w:rsid w:val="00D16CE8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C22A4"/>
    <w:rsid w:val="00DC713F"/>
    <w:rsid w:val="00DD02AF"/>
    <w:rsid w:val="00DD0E4E"/>
    <w:rsid w:val="00DD15A4"/>
    <w:rsid w:val="00DD4960"/>
    <w:rsid w:val="00DE1278"/>
    <w:rsid w:val="00DE1D68"/>
    <w:rsid w:val="00DE38CB"/>
    <w:rsid w:val="00DE4ED5"/>
    <w:rsid w:val="00DE6A1C"/>
    <w:rsid w:val="00DE6B23"/>
    <w:rsid w:val="00DF046D"/>
    <w:rsid w:val="00DF5025"/>
    <w:rsid w:val="00E11CB6"/>
    <w:rsid w:val="00E11D36"/>
    <w:rsid w:val="00E12A57"/>
    <w:rsid w:val="00E13F4E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73CC6"/>
    <w:rsid w:val="00E76036"/>
    <w:rsid w:val="00E77A0F"/>
    <w:rsid w:val="00E8056A"/>
    <w:rsid w:val="00E80671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C0737"/>
    <w:rsid w:val="00EC0BB2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16AD"/>
    <w:rsid w:val="00F82BA4"/>
    <w:rsid w:val="00F85565"/>
    <w:rsid w:val="00F8626E"/>
    <w:rsid w:val="00F947FD"/>
    <w:rsid w:val="00F9483E"/>
    <w:rsid w:val="00F95DCE"/>
    <w:rsid w:val="00F96B62"/>
    <w:rsid w:val="00F978FD"/>
    <w:rsid w:val="00FB21D2"/>
    <w:rsid w:val="00FB334C"/>
    <w:rsid w:val="00FB4B77"/>
    <w:rsid w:val="00FB4CB6"/>
    <w:rsid w:val="00FC27D1"/>
    <w:rsid w:val="00FC285C"/>
    <w:rsid w:val="00FC5384"/>
    <w:rsid w:val="00FC618B"/>
    <w:rsid w:val="00FD06B4"/>
    <w:rsid w:val="00FD236D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540A8"/>
  <w15:chartTrackingRefBased/>
  <w15:docId w15:val="{394B4821-BD34-034C-9A37-80CBE5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semiHidden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ofano@barabino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.nizzero@accredia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C82-3A5A-6E41-8325-D1CDDC50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11667</CharactersWithSpaces>
  <SharedDoc>false</SharedDoc>
  <HyperlinkBase/>
  <HLinks>
    <vt:vector size="12" baseType="variant"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mailto:d.lofano@barabino.it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Bianchi Marica</cp:lastModifiedBy>
  <cp:revision>10</cp:revision>
  <cp:lastPrinted>2022-03-16T14:31:00Z</cp:lastPrinted>
  <dcterms:created xsi:type="dcterms:W3CDTF">2021-09-13T07:24:00Z</dcterms:created>
  <dcterms:modified xsi:type="dcterms:W3CDTF">2022-03-16T14:31:00Z</dcterms:modified>
  <cp:category/>
</cp:coreProperties>
</file>